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149225</wp:posOffset>
            </wp:positionH>
            <wp:positionV relativeFrom="page">
              <wp:posOffset>469900</wp:posOffset>
            </wp:positionV>
            <wp:extent cx="7279005"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005" cy="43815"/>
                    </a:xfrm>
                    <a:prstGeom prst="rect">
                      <a:avLst/>
                    </a:prstGeom>
                    <a:noFill/>
                  </pic:spPr>
                </pic:pic>
              </a:graphicData>
            </a:graphic>
          </wp:anchor>
        </w:drawing>
      </w:r>
    </w:p>
    <w:p>
      <w:pPr>
        <w:jc w:val="center"/>
        <w:ind w:right="-520"/>
        <w:spacing w:after="0"/>
        <w:rPr>
          <w:sz w:val="20"/>
          <w:szCs w:val="20"/>
          <w:color w:val="auto"/>
        </w:rPr>
      </w:pPr>
      <w:r>
        <w:rPr>
          <w:rFonts w:ascii="Arial" w:cs="Arial" w:eastAsia="Arial" w:hAnsi="Arial"/>
          <w:sz w:val="20"/>
          <w:szCs w:val="20"/>
          <w:b w:val="1"/>
          <w:bCs w:val="1"/>
          <w:color w:val="auto"/>
        </w:rPr>
        <w:t>UNITED STATES</w:t>
      </w:r>
    </w:p>
    <w:p>
      <w:pPr>
        <w:spacing w:after="0" w:line="29" w:lineRule="exact"/>
        <w:rPr>
          <w:sz w:val="24"/>
          <w:szCs w:val="24"/>
          <w:color w:val="auto"/>
        </w:rPr>
      </w:pPr>
    </w:p>
    <w:p>
      <w:pPr>
        <w:jc w:val="center"/>
        <w:ind w:right="-520"/>
        <w:spacing w:after="0"/>
        <w:rPr>
          <w:sz w:val="20"/>
          <w:szCs w:val="20"/>
          <w:color w:val="auto"/>
        </w:rPr>
      </w:pPr>
      <w:r>
        <w:rPr>
          <w:rFonts w:ascii="Arial" w:cs="Arial" w:eastAsia="Arial" w:hAnsi="Arial"/>
          <w:sz w:val="20"/>
          <w:szCs w:val="20"/>
          <w:b w:val="1"/>
          <w:bCs w:val="1"/>
          <w:color w:val="auto"/>
        </w:rPr>
        <w:t>SECURITIES AND EXCHANGE COMMISSION</w:t>
      </w:r>
    </w:p>
    <w:p>
      <w:pPr>
        <w:spacing w:after="0" w:line="26" w:lineRule="exact"/>
        <w:rPr>
          <w:sz w:val="24"/>
          <w:szCs w:val="24"/>
          <w:color w:val="auto"/>
        </w:rPr>
      </w:pPr>
    </w:p>
    <w:p>
      <w:pPr>
        <w:ind w:left="4861"/>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321" w:lineRule="exact"/>
        <w:rPr>
          <w:sz w:val="24"/>
          <w:szCs w:val="24"/>
          <w:color w:val="auto"/>
        </w:rPr>
      </w:pPr>
    </w:p>
    <w:p>
      <w:pPr>
        <w:jc w:val="center"/>
        <w:ind w:right="-520"/>
        <w:spacing w:after="0"/>
        <w:rPr>
          <w:sz w:val="20"/>
          <w:szCs w:val="20"/>
          <w:color w:val="auto"/>
        </w:rPr>
      </w:pPr>
      <w:r>
        <w:rPr>
          <w:rFonts w:ascii="Arial" w:cs="Arial" w:eastAsia="Arial" w:hAnsi="Arial"/>
          <w:sz w:val="30"/>
          <w:szCs w:val="30"/>
          <w:b w:val="1"/>
          <w:bCs w:val="1"/>
          <w:color w:val="auto"/>
        </w:rPr>
        <w:t>Form 8-K</w:t>
      </w:r>
    </w:p>
    <w:p>
      <w:pPr>
        <w:spacing w:after="0" w:line="41" w:lineRule="exact"/>
        <w:rPr>
          <w:sz w:val="24"/>
          <w:szCs w:val="24"/>
          <w:color w:val="auto"/>
        </w:rPr>
      </w:pPr>
    </w:p>
    <w:p>
      <w:pPr>
        <w:ind w:left="4801"/>
        <w:spacing w:after="0"/>
        <w:rPr>
          <w:sz w:val="20"/>
          <w:szCs w:val="20"/>
          <w:color w:val="auto"/>
        </w:rPr>
      </w:pPr>
      <w:r>
        <w:rPr>
          <w:rFonts w:ascii="Arial" w:cs="Arial" w:eastAsia="Arial" w:hAnsi="Arial"/>
          <w:sz w:val="20"/>
          <w:szCs w:val="20"/>
          <w:b w:val="1"/>
          <w:bCs w:val="1"/>
          <w:color w:val="auto"/>
        </w:rPr>
        <w:t>CURRENT REPORT</w:t>
      </w:r>
    </w:p>
    <w:p>
      <w:pPr>
        <w:spacing w:after="0" w:line="200" w:lineRule="exact"/>
        <w:rPr>
          <w:sz w:val="24"/>
          <w:szCs w:val="24"/>
          <w:color w:val="auto"/>
        </w:rPr>
      </w:pPr>
    </w:p>
    <w:p>
      <w:pPr>
        <w:spacing w:after="0" w:line="316"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6" w:lineRule="exact"/>
        <w:rPr>
          <w:sz w:val="24"/>
          <w:szCs w:val="24"/>
          <w:color w:val="auto"/>
        </w:rPr>
      </w:pPr>
    </w:p>
    <w:p>
      <w:pPr>
        <w:ind w:left="3401"/>
        <w:spacing w:after="0"/>
        <w:rPr>
          <w:sz w:val="20"/>
          <w:szCs w:val="20"/>
          <w:color w:val="auto"/>
        </w:rPr>
      </w:pPr>
      <w:r>
        <w:rPr>
          <w:rFonts w:ascii="Arial" w:cs="Arial" w:eastAsia="Arial" w:hAnsi="Arial"/>
          <w:sz w:val="16"/>
          <w:szCs w:val="16"/>
          <w:b w:val="1"/>
          <w:bCs w:val="1"/>
          <w:color w:val="auto"/>
        </w:rPr>
        <w:t>Date of Report (Date of earliest event reported) November 5, 2014</w:t>
      </w:r>
    </w:p>
    <w:p>
      <w:pPr>
        <w:spacing w:after="0" w:line="200" w:lineRule="exact"/>
        <w:rPr>
          <w:sz w:val="24"/>
          <w:szCs w:val="24"/>
          <w:color w:val="auto"/>
        </w:rPr>
      </w:pPr>
    </w:p>
    <w:p>
      <w:pPr>
        <w:spacing w:after="0" w:line="297" w:lineRule="exact"/>
        <w:rPr>
          <w:sz w:val="24"/>
          <w:szCs w:val="24"/>
          <w:color w:val="auto"/>
        </w:rPr>
      </w:pPr>
    </w:p>
    <w:p>
      <w:pPr>
        <w:jc w:val="center"/>
        <w:ind w:right="-520"/>
        <w:spacing w:after="0"/>
        <w:rPr>
          <w:sz w:val="20"/>
          <w:szCs w:val="20"/>
          <w:color w:val="auto"/>
        </w:rPr>
      </w:pPr>
      <w:r>
        <w:rPr>
          <w:rFonts w:ascii="Arial" w:cs="Arial" w:eastAsia="Arial" w:hAnsi="Arial"/>
          <w:sz w:val="30"/>
          <w:szCs w:val="30"/>
          <w:b w:val="1"/>
          <w:bCs w:val="1"/>
          <w:color w:val="auto"/>
        </w:rPr>
        <w:t>SOUTHWEST GAS CORPORATION</w:t>
      </w:r>
    </w:p>
    <w:p>
      <w:pPr>
        <w:spacing w:after="0" w:line="28" w:lineRule="exact"/>
        <w:rPr>
          <w:sz w:val="24"/>
          <w:szCs w:val="24"/>
          <w:color w:val="auto"/>
        </w:rPr>
      </w:pPr>
    </w:p>
    <w:p>
      <w:pPr>
        <w:ind w:left="3901"/>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33" w:lineRule="exact"/>
        <w:rPr>
          <w:sz w:val="24"/>
          <w:szCs w:val="24"/>
          <w:color w:val="auto"/>
        </w:rPr>
      </w:pPr>
    </w:p>
    <w:tbl>
      <w:tblPr>
        <w:tblLayout w:type="fixed"/>
        <w:tblInd w:w="1001" w:type="dxa"/>
        <w:tblCellMar>
          <w:top w:w="0" w:type="dxa"/>
          <w:left w:w="0" w:type="dxa"/>
          <w:bottom w:w="0" w:type="dxa"/>
          <w:right w:w="0" w:type="dxa"/>
        </w:tblCellMar>
      </w:tblPr>
      <w:tr>
        <w:trPr>
          <w:trHeight w:val="184"/>
        </w:trPr>
        <w:tc>
          <w:tcPr>
            <w:tcW w:w="3580" w:type="dxa"/>
            <w:vAlign w:val="bottom"/>
          </w:tcPr>
          <w:p>
            <w:pPr>
              <w:jc w:val="center"/>
              <w:ind w:right="858"/>
              <w:spacing w:after="0"/>
              <w:rPr>
                <w:sz w:val="20"/>
                <w:szCs w:val="20"/>
                <w:color w:val="auto"/>
              </w:rPr>
            </w:pPr>
            <w:r>
              <w:rPr>
                <w:rFonts w:ascii="Arial" w:cs="Arial" w:eastAsia="Arial" w:hAnsi="Arial"/>
                <w:sz w:val="16"/>
                <w:szCs w:val="16"/>
                <w:b w:val="1"/>
                <w:bCs w:val="1"/>
                <w:color w:val="auto"/>
                <w:w w:val="97"/>
              </w:rPr>
              <w:t>California</w:t>
            </w:r>
          </w:p>
        </w:tc>
        <w:tc>
          <w:tcPr>
            <w:tcW w:w="3040" w:type="dxa"/>
            <w:vAlign w:val="bottom"/>
          </w:tcPr>
          <w:p>
            <w:pPr>
              <w:jc w:val="center"/>
              <w:ind w:right="118"/>
              <w:spacing w:after="0"/>
              <w:rPr>
                <w:sz w:val="20"/>
                <w:szCs w:val="20"/>
                <w:color w:val="auto"/>
              </w:rPr>
            </w:pPr>
            <w:r>
              <w:rPr>
                <w:rFonts w:ascii="Arial" w:cs="Arial" w:eastAsia="Arial" w:hAnsi="Arial"/>
                <w:sz w:val="16"/>
                <w:szCs w:val="16"/>
                <w:b w:val="1"/>
                <w:bCs w:val="1"/>
                <w:color w:val="auto"/>
                <w:w w:val="96"/>
              </w:rPr>
              <w:t>1-7850</w:t>
            </w:r>
          </w:p>
        </w:tc>
        <w:tc>
          <w:tcPr>
            <w:tcW w:w="2400" w:type="dxa"/>
            <w:vAlign w:val="bottom"/>
          </w:tcPr>
          <w:p>
            <w:pPr>
              <w:jc w:val="center"/>
              <w:ind w:left="1078"/>
              <w:spacing w:after="0"/>
              <w:rPr>
                <w:sz w:val="20"/>
                <w:szCs w:val="20"/>
                <w:color w:val="auto"/>
              </w:rPr>
            </w:pPr>
            <w:r>
              <w:rPr>
                <w:rFonts w:ascii="Arial" w:cs="Arial" w:eastAsia="Arial" w:hAnsi="Arial"/>
                <w:sz w:val="16"/>
                <w:szCs w:val="16"/>
                <w:b w:val="1"/>
                <w:bCs w:val="1"/>
                <w:color w:val="auto"/>
                <w:w w:val="93"/>
              </w:rPr>
              <w:t>88-0085720</w:t>
            </w:r>
          </w:p>
        </w:tc>
      </w:tr>
      <w:tr>
        <w:trPr>
          <w:trHeight w:val="160"/>
        </w:trPr>
        <w:tc>
          <w:tcPr>
            <w:tcW w:w="3580" w:type="dxa"/>
            <w:vAlign w:val="bottom"/>
          </w:tcPr>
          <w:p>
            <w:pPr>
              <w:jc w:val="center"/>
              <w:ind w:right="878"/>
              <w:spacing w:after="0" w:line="161" w:lineRule="exact"/>
              <w:rPr>
                <w:sz w:val="20"/>
                <w:szCs w:val="20"/>
                <w:color w:val="auto"/>
              </w:rPr>
            </w:pPr>
            <w:r>
              <w:rPr>
                <w:rFonts w:ascii="Arial" w:cs="Arial" w:eastAsia="Arial" w:hAnsi="Arial"/>
                <w:sz w:val="16"/>
                <w:szCs w:val="16"/>
                <w:color w:val="auto"/>
                <w:w w:val="94"/>
              </w:rPr>
              <w:t>(State or other jurisdiction of</w:t>
            </w:r>
          </w:p>
        </w:tc>
        <w:tc>
          <w:tcPr>
            <w:tcW w:w="3040" w:type="dxa"/>
            <w:vAlign w:val="bottom"/>
          </w:tcPr>
          <w:p>
            <w:pPr>
              <w:jc w:val="center"/>
              <w:ind w:right="118"/>
              <w:spacing w:after="0" w:line="161" w:lineRule="exact"/>
              <w:rPr>
                <w:sz w:val="20"/>
                <w:szCs w:val="20"/>
                <w:color w:val="auto"/>
              </w:rPr>
            </w:pPr>
            <w:r>
              <w:rPr>
                <w:rFonts w:ascii="Arial" w:cs="Arial" w:eastAsia="Arial" w:hAnsi="Arial"/>
                <w:sz w:val="16"/>
                <w:szCs w:val="16"/>
                <w:color w:val="auto"/>
                <w:w w:val="94"/>
              </w:rPr>
              <w:t>(Commission</w:t>
            </w:r>
          </w:p>
        </w:tc>
        <w:tc>
          <w:tcPr>
            <w:tcW w:w="2400" w:type="dxa"/>
            <w:vAlign w:val="bottom"/>
          </w:tcPr>
          <w:p>
            <w:pPr>
              <w:jc w:val="center"/>
              <w:ind w:left="1078"/>
              <w:spacing w:after="0" w:line="161" w:lineRule="exact"/>
              <w:rPr>
                <w:sz w:val="20"/>
                <w:szCs w:val="20"/>
                <w:color w:val="auto"/>
              </w:rPr>
            </w:pPr>
            <w:r>
              <w:rPr>
                <w:rFonts w:ascii="Arial" w:cs="Arial" w:eastAsia="Arial" w:hAnsi="Arial"/>
                <w:sz w:val="16"/>
                <w:szCs w:val="16"/>
                <w:color w:val="auto"/>
                <w:w w:val="95"/>
              </w:rPr>
              <w:t>(I.R.S. Employer</w:t>
            </w:r>
          </w:p>
        </w:tc>
      </w:tr>
      <w:tr>
        <w:trPr>
          <w:trHeight w:val="208"/>
        </w:trPr>
        <w:tc>
          <w:tcPr>
            <w:tcW w:w="3580" w:type="dxa"/>
            <w:vAlign w:val="bottom"/>
          </w:tcPr>
          <w:p>
            <w:pPr>
              <w:jc w:val="center"/>
              <w:ind w:right="878"/>
              <w:spacing w:after="0"/>
              <w:rPr>
                <w:sz w:val="20"/>
                <w:szCs w:val="20"/>
                <w:color w:val="auto"/>
              </w:rPr>
            </w:pPr>
            <w:r>
              <w:rPr>
                <w:rFonts w:ascii="Arial" w:cs="Arial" w:eastAsia="Arial" w:hAnsi="Arial"/>
                <w:sz w:val="16"/>
                <w:szCs w:val="16"/>
                <w:color w:val="auto"/>
                <w:w w:val="95"/>
              </w:rPr>
              <w:t>incorporation or organization)</w:t>
            </w:r>
          </w:p>
        </w:tc>
        <w:tc>
          <w:tcPr>
            <w:tcW w:w="3040" w:type="dxa"/>
            <w:vAlign w:val="bottom"/>
          </w:tcPr>
          <w:p>
            <w:pPr>
              <w:jc w:val="center"/>
              <w:ind w:right="118"/>
              <w:spacing w:after="0"/>
              <w:rPr>
                <w:sz w:val="20"/>
                <w:szCs w:val="20"/>
                <w:color w:val="auto"/>
              </w:rPr>
            </w:pPr>
            <w:r>
              <w:rPr>
                <w:rFonts w:ascii="Arial" w:cs="Arial" w:eastAsia="Arial" w:hAnsi="Arial"/>
                <w:sz w:val="16"/>
                <w:szCs w:val="16"/>
                <w:color w:val="auto"/>
                <w:w w:val="95"/>
              </w:rPr>
              <w:t>File Number)</w:t>
            </w:r>
          </w:p>
        </w:tc>
        <w:tc>
          <w:tcPr>
            <w:tcW w:w="2400" w:type="dxa"/>
            <w:vAlign w:val="bottom"/>
          </w:tcPr>
          <w:p>
            <w:pPr>
              <w:jc w:val="center"/>
              <w:ind w:left="1078"/>
              <w:spacing w:after="0"/>
              <w:rPr>
                <w:sz w:val="20"/>
                <w:szCs w:val="20"/>
                <w:color w:val="auto"/>
              </w:rPr>
            </w:pPr>
            <w:r>
              <w:rPr>
                <w:rFonts w:ascii="Arial" w:cs="Arial" w:eastAsia="Arial" w:hAnsi="Arial"/>
                <w:sz w:val="16"/>
                <w:szCs w:val="16"/>
                <w:color w:val="auto"/>
                <w:w w:val="99"/>
              </w:rPr>
              <w:t>Identification No.)</w:t>
            </w:r>
          </w:p>
        </w:tc>
      </w:tr>
      <w:tr>
        <w:trPr>
          <w:trHeight w:val="342"/>
        </w:trPr>
        <w:tc>
          <w:tcPr>
            <w:tcW w:w="3580" w:type="dxa"/>
            <w:vAlign w:val="bottom"/>
          </w:tcPr>
          <w:p>
            <w:pPr>
              <w:jc w:val="center"/>
              <w:ind w:right="878"/>
              <w:spacing w:after="0"/>
              <w:rPr>
                <w:sz w:val="20"/>
                <w:szCs w:val="20"/>
                <w:color w:val="auto"/>
              </w:rPr>
            </w:pPr>
            <w:r>
              <w:rPr>
                <w:rFonts w:ascii="Arial" w:cs="Arial" w:eastAsia="Arial" w:hAnsi="Arial"/>
                <w:sz w:val="16"/>
                <w:szCs w:val="16"/>
                <w:b w:val="1"/>
                <w:bCs w:val="1"/>
                <w:color w:val="auto"/>
                <w:w w:val="93"/>
              </w:rPr>
              <w:t>5241 Spring Mountain Road</w:t>
            </w:r>
          </w:p>
        </w:tc>
        <w:tc>
          <w:tcPr>
            <w:tcW w:w="30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97"/>
        </w:trPr>
        <w:tc>
          <w:tcPr>
            <w:tcW w:w="3580" w:type="dxa"/>
            <w:vAlign w:val="bottom"/>
          </w:tcPr>
          <w:p>
            <w:pPr>
              <w:jc w:val="center"/>
              <w:ind w:right="878"/>
              <w:spacing w:after="0"/>
              <w:rPr>
                <w:sz w:val="20"/>
                <w:szCs w:val="20"/>
                <w:color w:val="auto"/>
              </w:rPr>
            </w:pPr>
            <w:r>
              <w:rPr>
                <w:rFonts w:ascii="Arial" w:cs="Arial" w:eastAsia="Arial" w:hAnsi="Arial"/>
                <w:sz w:val="16"/>
                <w:szCs w:val="16"/>
                <w:b w:val="1"/>
                <w:bCs w:val="1"/>
                <w:color w:val="auto"/>
                <w:w w:val="91"/>
              </w:rPr>
              <w:t>Post Office Box 98510</w:t>
            </w:r>
          </w:p>
        </w:tc>
        <w:tc>
          <w:tcPr>
            <w:tcW w:w="30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77"/>
        </w:trPr>
        <w:tc>
          <w:tcPr>
            <w:tcW w:w="3580" w:type="dxa"/>
            <w:vAlign w:val="bottom"/>
          </w:tcPr>
          <w:p>
            <w:pPr>
              <w:jc w:val="center"/>
              <w:ind w:right="878"/>
              <w:spacing w:after="0" w:line="177" w:lineRule="exact"/>
              <w:rPr>
                <w:sz w:val="20"/>
                <w:szCs w:val="20"/>
                <w:color w:val="auto"/>
              </w:rPr>
            </w:pPr>
            <w:r>
              <w:rPr>
                <w:rFonts w:ascii="Arial" w:cs="Arial" w:eastAsia="Arial" w:hAnsi="Arial"/>
                <w:sz w:val="16"/>
                <w:szCs w:val="16"/>
                <w:b w:val="1"/>
                <w:bCs w:val="1"/>
                <w:color w:val="auto"/>
                <w:w w:val="89"/>
              </w:rPr>
              <w:t>Las Vegas, Nevada</w:t>
            </w:r>
          </w:p>
        </w:tc>
        <w:tc>
          <w:tcPr>
            <w:tcW w:w="3040" w:type="dxa"/>
            <w:vAlign w:val="bottom"/>
          </w:tcPr>
          <w:p>
            <w:pPr>
              <w:spacing w:after="0"/>
              <w:rPr>
                <w:sz w:val="15"/>
                <w:szCs w:val="15"/>
                <w:color w:val="auto"/>
              </w:rPr>
            </w:pPr>
          </w:p>
        </w:tc>
        <w:tc>
          <w:tcPr>
            <w:tcW w:w="2400" w:type="dxa"/>
            <w:vAlign w:val="bottom"/>
          </w:tcPr>
          <w:p>
            <w:pPr>
              <w:jc w:val="center"/>
              <w:ind w:left="1078"/>
              <w:spacing w:after="0" w:line="177" w:lineRule="exact"/>
              <w:rPr>
                <w:sz w:val="20"/>
                <w:szCs w:val="20"/>
                <w:color w:val="auto"/>
              </w:rPr>
            </w:pPr>
            <w:r>
              <w:rPr>
                <w:rFonts w:ascii="Arial" w:cs="Arial" w:eastAsia="Arial" w:hAnsi="Arial"/>
                <w:sz w:val="16"/>
                <w:szCs w:val="16"/>
                <w:b w:val="1"/>
                <w:bCs w:val="1"/>
                <w:color w:val="auto"/>
                <w:w w:val="93"/>
              </w:rPr>
              <w:t>89193-8510</w:t>
            </w:r>
          </w:p>
        </w:tc>
      </w:tr>
      <w:tr>
        <w:trPr>
          <w:trHeight w:val="208"/>
        </w:trPr>
        <w:tc>
          <w:tcPr>
            <w:tcW w:w="3580" w:type="dxa"/>
            <w:vAlign w:val="bottom"/>
          </w:tcPr>
          <w:p>
            <w:pPr>
              <w:jc w:val="center"/>
              <w:ind w:right="878"/>
              <w:spacing w:after="0"/>
              <w:rPr>
                <w:sz w:val="20"/>
                <w:szCs w:val="20"/>
                <w:color w:val="auto"/>
              </w:rPr>
            </w:pPr>
            <w:r>
              <w:rPr>
                <w:rFonts w:ascii="Arial" w:cs="Arial" w:eastAsia="Arial" w:hAnsi="Arial"/>
                <w:sz w:val="16"/>
                <w:szCs w:val="16"/>
                <w:color w:val="auto"/>
                <w:w w:val="95"/>
              </w:rPr>
              <w:t>(Address of principal executive offices)</w:t>
            </w:r>
          </w:p>
        </w:tc>
        <w:tc>
          <w:tcPr>
            <w:tcW w:w="3040" w:type="dxa"/>
            <w:vAlign w:val="bottom"/>
          </w:tcPr>
          <w:p>
            <w:pPr>
              <w:spacing w:after="0"/>
              <w:rPr>
                <w:sz w:val="18"/>
                <w:szCs w:val="18"/>
                <w:color w:val="auto"/>
              </w:rPr>
            </w:pPr>
          </w:p>
        </w:tc>
        <w:tc>
          <w:tcPr>
            <w:tcW w:w="2400" w:type="dxa"/>
            <w:vAlign w:val="bottom"/>
          </w:tcPr>
          <w:p>
            <w:pPr>
              <w:jc w:val="center"/>
              <w:ind w:left="1078"/>
              <w:spacing w:after="0"/>
              <w:rPr>
                <w:sz w:val="20"/>
                <w:szCs w:val="20"/>
                <w:color w:val="auto"/>
              </w:rPr>
            </w:pPr>
            <w:r>
              <w:rPr>
                <w:rFonts w:ascii="Arial" w:cs="Arial" w:eastAsia="Arial" w:hAnsi="Arial"/>
                <w:sz w:val="16"/>
                <w:szCs w:val="16"/>
                <w:color w:val="auto"/>
                <w:w w:val="95"/>
              </w:rPr>
              <w:t>(Zip Code)</w:t>
            </w:r>
          </w:p>
        </w:tc>
      </w:tr>
    </w:tbl>
    <w:p>
      <w:pPr>
        <w:spacing w:after="0" w:line="379" w:lineRule="exact"/>
        <w:rPr>
          <w:sz w:val="24"/>
          <w:szCs w:val="24"/>
          <w:color w:val="auto"/>
        </w:rPr>
      </w:pPr>
    </w:p>
    <w:p>
      <w:pPr>
        <w:ind w:left="3361"/>
        <w:spacing w:after="0"/>
        <w:rPr>
          <w:sz w:val="20"/>
          <w:szCs w:val="20"/>
          <w:color w:val="auto"/>
        </w:rPr>
      </w:pPr>
      <w:r>
        <w:rPr>
          <w:rFonts w:ascii="Arial" w:cs="Arial" w:eastAsia="Arial" w:hAnsi="Arial"/>
          <w:sz w:val="16"/>
          <w:szCs w:val="16"/>
          <w:b w:val="1"/>
          <w:bCs w:val="1"/>
          <w:color w:val="auto"/>
        </w:rPr>
        <w:t>Registrant's telephone number, including area code: (702) 876-7237</w:t>
      </w:r>
    </w:p>
    <w:p>
      <w:pPr>
        <w:spacing w:after="0" w:line="334" w:lineRule="exact"/>
        <w:rPr>
          <w:sz w:val="24"/>
          <w:szCs w:val="24"/>
          <w:color w:val="auto"/>
        </w:rPr>
      </w:pPr>
    </w:p>
    <w:p>
      <w:pPr>
        <w:ind w:left="1"/>
        <w:spacing w:after="0" w:line="246" w:lineRule="auto"/>
        <w:rPr>
          <w:sz w:val="20"/>
          <w:szCs w:val="20"/>
          <w:color w:val="auto"/>
        </w:rPr>
      </w:pPr>
      <w:r>
        <w:rPr>
          <w:rFonts w:ascii="Arial" w:cs="Arial" w:eastAsia="Arial" w:hAnsi="Arial"/>
          <w:sz w:val="16"/>
          <w:szCs w:val="16"/>
          <w:b w:val="1"/>
          <w:bCs w:val="1"/>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101" w:hanging="101"/>
        <w:spacing w:after="0"/>
        <w:tabs>
          <w:tab w:leader="none" w:pos="101"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Written communications pursuant to Rule 425 under the Securities Act (17 CFR 230.425)</w:t>
      </w:r>
    </w:p>
    <w:p>
      <w:pPr>
        <w:spacing w:after="0" w:line="136" w:lineRule="exact"/>
        <w:rPr>
          <w:rFonts w:ascii="Arial" w:cs="Arial" w:eastAsia="Arial" w:hAnsi="Arial"/>
          <w:sz w:val="16"/>
          <w:szCs w:val="16"/>
          <w:b w:val="1"/>
          <w:bCs w:val="1"/>
          <w:color w:val="auto"/>
        </w:rPr>
      </w:pPr>
    </w:p>
    <w:p>
      <w:pPr>
        <w:ind w:left="101" w:hanging="101"/>
        <w:spacing w:after="0"/>
        <w:tabs>
          <w:tab w:leader="none" w:pos="101"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Soliciting material pursuant to Rule 14a-12 under the Exchange Act (17 CFR 240.14a-12)</w:t>
      </w:r>
    </w:p>
    <w:p>
      <w:pPr>
        <w:spacing w:after="0" w:line="136" w:lineRule="exact"/>
        <w:rPr>
          <w:rFonts w:ascii="Arial" w:cs="Arial" w:eastAsia="Arial" w:hAnsi="Arial"/>
          <w:sz w:val="16"/>
          <w:szCs w:val="16"/>
          <w:b w:val="1"/>
          <w:bCs w:val="1"/>
          <w:color w:val="auto"/>
        </w:rPr>
      </w:pPr>
    </w:p>
    <w:p>
      <w:pPr>
        <w:ind w:left="101" w:hanging="101"/>
        <w:spacing w:after="0"/>
        <w:tabs>
          <w:tab w:leader="none" w:pos="101"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Pre-commencement communications pursuant to Rule 14d-2(b) under the Exchange Act (17 CFR 240.14d-2(b))</w:t>
      </w:r>
    </w:p>
    <w:p>
      <w:pPr>
        <w:spacing w:after="0" w:line="136" w:lineRule="exact"/>
        <w:rPr>
          <w:rFonts w:ascii="Arial" w:cs="Arial" w:eastAsia="Arial" w:hAnsi="Arial"/>
          <w:sz w:val="16"/>
          <w:szCs w:val="16"/>
          <w:b w:val="1"/>
          <w:bCs w:val="1"/>
          <w:color w:val="auto"/>
        </w:rPr>
      </w:pPr>
    </w:p>
    <w:p>
      <w:pPr>
        <w:ind w:left="101" w:hanging="101"/>
        <w:spacing w:after="0"/>
        <w:tabs>
          <w:tab w:leader="none" w:pos="101"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79005"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005" cy="438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799465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901"/>
          </w:cols>
          <w:pgMar w:left="239" w:top="1440" w:right="7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November 5, 2014, Southwest Gas Corporation (the Company) released summary financial information to the general public, including the investment community, regarding the Company’s operating performance for the quarter, nine, and twelve months ended September 30, 2014. A copy of the Company’s press release and summary financial information is attached hereto as Exhibit 99.</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This Form 8-K and the attached exhibit are provided under Item 2.02 of Form 8-K and are furnished to, but not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537845</wp:posOffset>
            </wp:positionV>
            <wp:extent cx="726313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4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SOUTHWEST GAS CORPORATION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2014</w:t>
      </w:r>
    </w:p>
    <w:p>
      <w:pPr>
        <w:spacing w:after="0" w:line="24"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1270</wp:posOffset>
            </wp:positionV>
            <wp:extent cx="347662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6625" cy="15875"/>
                    </a:xfrm>
                    <a:prstGeom prst="rect">
                      <a:avLst/>
                    </a:prstGeom>
                    <a:noFill/>
                  </pic:spPr>
                </pic:pic>
              </a:graphicData>
            </a:graphic>
          </wp:anchor>
        </w:drawing>
      </w:r>
    </w:p>
    <w:p>
      <w:pPr>
        <w:ind w:left="8040"/>
        <w:spacing w:after="0"/>
        <w:rPr>
          <w:sz w:val="20"/>
          <w:szCs w:val="20"/>
          <w:color w:val="auto"/>
        </w:rPr>
      </w:pPr>
      <w:r>
        <w:rPr>
          <w:rFonts w:ascii="Arial" w:cs="Arial" w:eastAsia="Arial" w:hAnsi="Arial"/>
          <w:sz w:val="16"/>
          <w:szCs w:val="16"/>
          <w:color w:val="auto"/>
        </w:rPr>
        <w:t>Gregory J. Peterson</w:t>
      </w:r>
    </w:p>
    <w:p>
      <w:pPr>
        <w:spacing w:after="0" w:line="24"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Vice President/Controller and</w:t>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625475</wp:posOffset>
            </wp:positionV>
            <wp:extent cx="726313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678" w:right="239" w:bottom="1440" w:gutter="0" w:footer="0" w:header="0"/>
        </w:sectPr>
      </w:pPr>
    </w:p>
    <w:bookmarkStart w:id="3" w:name="page4"/>
    <w:bookmarkEnd w:id="3"/>
    <w:p>
      <w:pPr>
        <w:jc w:val="right"/>
        <w:ind w:right="3319"/>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8"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9525</wp:posOffset>
            </wp:positionV>
            <wp:extent cx="48704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70450" cy="15875"/>
                    </a:xfrm>
                    <a:prstGeom prst="rect">
                      <a:avLst/>
                    </a:prstGeom>
                    <a:noFill/>
                  </pic:spPr>
                </pic:pic>
              </a:graphicData>
            </a:graphic>
          </wp:anchor>
        </w:drawing>
      </w:r>
    </w:p>
    <w:p>
      <w:pPr>
        <w:spacing w:after="0" w:line="204"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6"/>
          <w:szCs w:val="16"/>
          <w:color w:val="auto"/>
        </w:rPr>
        <w:t>99</w:t>
      </w:r>
      <w:r>
        <w:rPr>
          <w:sz w:val="20"/>
          <w:szCs w:val="20"/>
          <w:color w:val="auto"/>
        </w:rPr>
        <w:tab/>
      </w:r>
      <w:r>
        <w:rPr>
          <w:rFonts w:ascii="Arial" w:cs="Arial" w:eastAsia="Arial" w:hAnsi="Arial"/>
          <w:sz w:val="16"/>
          <w:szCs w:val="16"/>
          <w:color w:val="auto"/>
        </w:rPr>
        <w:t>Press Release and summary financial information dated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514985</wp:posOffset>
            </wp:positionV>
            <wp:extent cx="726313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019"/>
          </w:cols>
          <w:pgMar w:left="440" w:top="493"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November 5, 2014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Media Contact: Cynthia Messina, Las Vegas, NV (702) 876-7273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Shareholder Contact: Ken Kenny, Las Vegas, NV (702) 876-7237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SOUTHWEST GAS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ANNOUNCES THIRD QUARTER 2014 RESULTS</w:t>
      </w:r>
    </w:p>
    <w:p>
      <w:pPr>
        <w:spacing w:after="0" w:line="375" w:lineRule="exact"/>
        <w:rPr>
          <w:sz w:val="20"/>
          <w:szCs w:val="20"/>
          <w:color w:val="auto"/>
        </w:rPr>
      </w:pPr>
    </w:p>
    <w:p>
      <w:pPr>
        <w:jc w:val="both"/>
        <w:spacing w:after="0" w:line="697" w:lineRule="auto"/>
        <w:rPr>
          <w:sz w:val="20"/>
          <w:szCs w:val="20"/>
          <w:color w:val="auto"/>
        </w:rPr>
      </w:pPr>
      <w:r>
        <w:rPr>
          <w:rFonts w:ascii="Arial" w:cs="Arial" w:eastAsia="Arial" w:hAnsi="Arial"/>
          <w:sz w:val="14"/>
          <w:szCs w:val="14"/>
          <w:color w:val="auto"/>
        </w:rPr>
        <w:t>Las Vegas, Nev. – Southwest Gas Corporation (NYSE: SWX) recorded net income of $0.04 per share for the third quarter of 2014, compared to a net loss of $0.06 per share for the third quarter of 2013. Consolidated net income was $2.0 million for the third quarter of 2014, compared to a consolidated net loss of $2.9 million for the prior-year quarter. Due to the seasonal nature of the Company’s businesses, results for quarterly periods are not generally indicative of earnings for a complete twelve-month period.</w:t>
      </w:r>
    </w:p>
    <w:p>
      <w:pPr>
        <w:spacing w:after="0" w:line="373" w:lineRule="exact"/>
        <w:rPr>
          <w:sz w:val="20"/>
          <w:szCs w:val="20"/>
          <w:color w:val="auto"/>
        </w:rPr>
      </w:pPr>
    </w:p>
    <w:p>
      <w:pPr>
        <w:jc w:val="both"/>
        <w:spacing w:after="0" w:line="626" w:lineRule="auto"/>
        <w:rPr>
          <w:sz w:val="20"/>
          <w:szCs w:val="20"/>
          <w:color w:val="auto"/>
        </w:rPr>
      </w:pPr>
      <w:r>
        <w:rPr>
          <w:rFonts w:ascii="Arial" w:cs="Arial" w:eastAsia="Arial" w:hAnsi="Arial"/>
          <w:sz w:val="15"/>
          <w:szCs w:val="15"/>
          <w:color w:val="auto"/>
        </w:rPr>
        <w:t>According to Jeffrey W. Shaw, Chief Executive Officer, “Operating results for the third quarter improved over the same quarter in the prior year primarily due to a record quarterly contribution from NPL, our construction services subsidiary. NPL posted quarterly earnings of $13.4 million on revenues of $206 million. The accumulation of delayed work resulting from adverse weather conditions in the first quarter has been substantially completed.” Shaw added, “Results for the natural gas segment improved slightly as incremental margin from the California rate case, coupled with relatively flat operating expenses, offset higher interest expense.” Shaw concluded by saying, “We recently completed the acquisition of Link-Line, W. S. Nicholls, and Brigadier Pipelines. This acquisition will expand the customer base, geographic scope, and technical service offerings of the construction services business. The combination of NPL and the acquired companies will create one of the largest underground natural gas distribution contractors in North America. This acquisition, coupled with several ongoing regulatory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679450</wp:posOffset>
            </wp:positionV>
            <wp:extent cx="726313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initiatives, makes this a very exciting time for our Company and we are focused on the execution of these opportunities.”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579" w:lineRule="auto"/>
        <w:rPr>
          <w:sz w:val="20"/>
          <w:szCs w:val="20"/>
          <w:color w:val="auto"/>
        </w:rPr>
      </w:pPr>
      <w:r>
        <w:rPr>
          <w:rFonts w:ascii="Arial" w:cs="Arial" w:eastAsia="Arial" w:hAnsi="Arial"/>
          <w:sz w:val="16"/>
          <w:szCs w:val="16"/>
          <w:color w:val="auto"/>
        </w:rPr>
        <w:t>For the twelve months ended September 30, 2014, consolidated net income was $140 million, or $3.01 per basic share, compared to $150 million, or $3.25 per basic share, during the twelve-month period ended September 30, 2013. Contribution from both operating segments declined between twelve-month periods with construction services $7.2 million lower. At NPL, the current-year period includes expense of approximately $2.7 million associated with a legal settlement recognized in late 2013, $1.4 million of transaction costs related to the business acquisition completed in October 2014, and higher general and administrative expenses associated with changes implemented to match NPL’s increased size and complexity. The prior-year period at NPL included $3 million of incremental revenue associated with approved change orders on a fixed-price project.</w:t>
      </w:r>
    </w:p>
    <w:p>
      <w:pPr>
        <w:jc w:val="center"/>
        <w:spacing w:after="0"/>
        <w:rPr>
          <w:sz w:val="20"/>
          <w:szCs w:val="20"/>
          <w:color w:val="auto"/>
        </w:rPr>
      </w:pPr>
      <w:r>
        <w:rPr>
          <w:rFonts w:ascii="Arial" w:cs="Arial" w:eastAsia="Arial" w:hAnsi="Arial"/>
          <w:sz w:val="16"/>
          <w:szCs w:val="16"/>
          <w:i w:val="1"/>
          <w:iCs w:val="1"/>
          <w:u w:val="single" w:color="auto"/>
          <w:color w:val="auto"/>
        </w:rPr>
        <w:t>Natural Gas Operations Segment Results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Quarter</w:t>
      </w:r>
    </w:p>
    <w:p>
      <w:pPr>
        <w:spacing w:after="0" w:line="260" w:lineRule="exact"/>
        <w:rPr>
          <w:sz w:val="20"/>
          <w:szCs w:val="20"/>
          <w:color w:val="auto"/>
        </w:rPr>
      </w:pPr>
    </w:p>
    <w:p>
      <w:pPr>
        <w:jc w:val="both"/>
        <w:spacing w:after="0" w:line="595" w:lineRule="auto"/>
        <w:rPr>
          <w:sz w:val="20"/>
          <w:szCs w:val="20"/>
          <w:color w:val="auto"/>
        </w:rPr>
      </w:pPr>
      <w:r>
        <w:rPr>
          <w:rFonts w:ascii="Arial" w:cs="Arial" w:eastAsia="Arial" w:hAnsi="Arial"/>
          <w:sz w:val="16"/>
          <w:szCs w:val="16"/>
          <w:color w:val="auto"/>
        </w:rPr>
        <w:t>Operating margin, defined as operating revenues less the cost of gas sold, increased $6 million between quarters including approximately $5 million of rate relief in California due to the recent California general rate case. New customers contributed $1 million in operating margin during the third quarter of 2014, as approximately 29,000 net new customers were added during the last twelve months.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for the quarter were relatively flat compared to the third quarter of 2013 as additional property taxes and higher depreciation expense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679450</wp:posOffset>
            </wp:positionV>
            <wp:extent cx="726313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additional plant in service were substantially offset by declines in employee-related costs, including pension expense.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589" w:lineRule="auto"/>
        <w:rPr>
          <w:sz w:val="20"/>
          <w:szCs w:val="20"/>
          <w:color w:val="auto"/>
        </w:rPr>
      </w:pPr>
      <w:r>
        <w:rPr>
          <w:rFonts w:ascii="Arial" w:cs="Arial" w:eastAsia="Arial" w:hAnsi="Arial"/>
          <w:sz w:val="16"/>
          <w:szCs w:val="16"/>
          <w:color w:val="auto"/>
        </w:rPr>
        <w:t>Other income, which principally includes changes in the cash surrender values of company-owned life insurance (“COLI”) policies and non-utility expenses, decreased approximately $2.2 million between quarters. The current quarter reflects COLI policy cash surrender value decreases of $300,000 net of death benefits recognized, while the prior-year quarter included $2.5 million in COLI-related income. Net interest deductions increased $2.4 million between quarters, primarily due to the issuance of $250 million of long-term debt in the fourth quarter of 2013.</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Twelve Months to Date</w:t>
      </w:r>
    </w:p>
    <w:p>
      <w:pPr>
        <w:spacing w:after="0" w:line="260" w:lineRule="exact"/>
        <w:rPr>
          <w:sz w:val="20"/>
          <w:szCs w:val="20"/>
          <w:color w:val="auto"/>
        </w:rPr>
      </w:pPr>
    </w:p>
    <w:p>
      <w:pPr>
        <w:jc w:val="both"/>
        <w:spacing w:after="0" w:line="610" w:lineRule="auto"/>
        <w:rPr>
          <w:sz w:val="20"/>
          <w:szCs w:val="20"/>
          <w:color w:val="auto"/>
        </w:rPr>
      </w:pPr>
      <w:r>
        <w:rPr>
          <w:rFonts w:ascii="Arial" w:cs="Arial" w:eastAsia="Arial" w:hAnsi="Arial"/>
          <w:sz w:val="16"/>
          <w:szCs w:val="16"/>
          <w:color w:val="auto"/>
        </w:rPr>
        <w:t>Operating margin increased $18 million between periods including $9 million of combined rate relief. Customer growth contributed $8 million toward the increase. The remainder of the increase was from customers outside the decoupling mechanisms and other miscellaneous revenues.</w:t>
      </w:r>
    </w:p>
    <w:p>
      <w:pPr>
        <w:spacing w:after="0" w:line="396" w:lineRule="exact"/>
        <w:rPr>
          <w:sz w:val="20"/>
          <w:szCs w:val="20"/>
          <w:color w:val="auto"/>
        </w:rPr>
      </w:pPr>
    </w:p>
    <w:p>
      <w:pPr>
        <w:jc w:val="both"/>
        <w:spacing w:after="0" w:line="610" w:lineRule="auto"/>
        <w:rPr>
          <w:sz w:val="20"/>
          <w:szCs w:val="20"/>
          <w:color w:val="auto"/>
        </w:rPr>
      </w:pPr>
      <w:r>
        <w:rPr>
          <w:rFonts w:ascii="Arial" w:cs="Arial" w:eastAsia="Arial" w:hAnsi="Arial"/>
          <w:sz w:val="16"/>
          <w:szCs w:val="16"/>
          <w:color w:val="auto"/>
        </w:rPr>
        <w:t>Operating expenses increased $22.6 million, or 4%, between periods primarily due to higher general costs (including a $5 million legal accrual in the first quarter of 2014) and a $10.8 million increase in depreciation and amortization expense due largely to plant additions.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Other income increased $967,000 between periods. Increases in COLI policy cash surrender values, including net death benefits recognized, were $7.2 million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679450</wp:posOffset>
            </wp:positionV>
            <wp:extent cx="726313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052" w:right="23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current twelve-month period and $9.2 million in the prior twelve-month period.  COLI-related income in both periods was significantly higher than expected, reflecting</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strong returns on investments underlying the policies. Interest income increased $1.4 million between periods primarily due to a higher purchased gas adjustment balance</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receivable in 2014. In addition, Arizona non-recoverable pipe replacement costs were $859,000 lower in the current twelve-month period as this pipe replacement activity</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was substantially completed in 2012.  Net interest deductions increased $7.4 million between twelve-month periods, primarily due to interest costs associated with the</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issuance of debt in the fourth quarter of 2013.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Southwest Gas Corporation provides natural gas service to 1,912,000 customers in Arizona, Nevada, and California.</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This press release may contain statements which constitute “forward-looking statements” within the meaning of the Private Securities Litigation Reform Act of 1995 (Reform Act). All such forward-looking statements are intended to be subject to the safe harbor protection provided by the Reform Act. A number of important factors affecting the business and financial results of the Company could cause actual results to differ materially from those stated in the forward-looking statements. These factors include, but are not limited to, customer growth rates, the effects of regulation/deregulation, the timing and amount of rate relief, changes in rate design, the earnings impact of NPL’s recent acquisition, results of NPL fixed-price contracts, and the impacts of stock market volatility.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679450</wp:posOffset>
            </wp:positionV>
            <wp:extent cx="726313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05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SOUTHWEST GAS CONSOLIDATED EARNINGS DIGEST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QUARTER ENDED SEPTEMBER 30,</w:t>
            </w:r>
          </w:p>
        </w:tc>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Consolidated Operating Revenues</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432,475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387,346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1,970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Average Number of Common Shares Outstanding</w:t>
            </w:r>
          </w:p>
        </w:tc>
        <w:tc>
          <w:tcPr>
            <w:tcW w:w="4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46,513</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46,337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Share</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(Loss) Per Share</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424"/>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NINE MONTHS ENDED SEPTEMBER 30,</w:t>
            </w: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98"/>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98"/>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Consolidated Operating Revenues</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1,494,024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1,412,425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82,380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88,017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Average Number of Common Shares Outstanding</w:t>
            </w:r>
          </w:p>
        </w:tc>
        <w:tc>
          <w:tcPr>
            <w:tcW w:w="4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46,485</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46,306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424"/>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TWELVE MONTHS ENDED SEPTEMBER 30,</w:t>
            </w: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98"/>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98"/>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Consolidated Operating Revenues</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2,032,381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1,900,991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139,683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150,410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Average Number of Common Shares Outstanding</w:t>
            </w:r>
          </w:p>
        </w:tc>
        <w:tc>
          <w:tcPr>
            <w:tcW w:w="4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46,451</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4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726313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6"/>
          <w:szCs w:val="16"/>
          <w:b w:val="1"/>
          <w:bCs w:val="1"/>
          <w:color w:val="auto"/>
        </w:rPr>
        <w:t>SOUTHWEST GAS CORPORATION</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SUMMARY UNAUDITED OPERATING RESULTS</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right"/>
              <w:ind w:right="58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7"/>
                <w:szCs w:val="17"/>
                <w:color w:val="auto"/>
              </w:rPr>
            </w:pPr>
          </w:p>
        </w:tc>
        <w:tc>
          <w:tcPr>
            <w:tcW w:w="2480" w:type="dxa"/>
            <w:vAlign w:val="bottom"/>
            <w:gridSpan w:val="5"/>
          </w:tcPr>
          <w:p>
            <w:pPr>
              <w:ind w:left="160"/>
              <w:spacing w:after="0"/>
              <w:rPr>
                <w:sz w:val="20"/>
                <w:szCs w:val="20"/>
                <w:color w:val="auto"/>
              </w:rPr>
            </w:pPr>
            <w:r>
              <w:rPr>
                <w:rFonts w:ascii="Arial" w:cs="Arial" w:eastAsia="Arial" w:hAnsi="Arial"/>
                <w:sz w:val="16"/>
                <w:szCs w:val="16"/>
                <w:color w:val="auto"/>
              </w:rPr>
              <w:t>NINE MONTHS ENDED</w:t>
            </w:r>
          </w:p>
        </w:tc>
        <w:tc>
          <w:tcPr>
            <w:tcW w:w="180" w:type="dxa"/>
            <w:vAlign w:val="bottom"/>
          </w:tcPr>
          <w:p>
            <w:pPr>
              <w:spacing w:after="0"/>
              <w:rPr>
                <w:sz w:val="17"/>
                <w:szCs w:val="17"/>
                <w:color w:val="auto"/>
              </w:rPr>
            </w:pPr>
          </w:p>
        </w:tc>
        <w:tc>
          <w:tcPr>
            <w:tcW w:w="2420" w:type="dxa"/>
            <w:vAlign w:val="bottom"/>
            <w:gridSpan w:val="5"/>
          </w:tcPr>
          <w:p>
            <w:pPr>
              <w:jc w:val="center"/>
              <w:ind w:right="280"/>
              <w:spacing w:after="0"/>
              <w:rPr>
                <w:sz w:val="20"/>
                <w:szCs w:val="20"/>
                <w:color w:val="auto"/>
              </w:rPr>
            </w:pPr>
            <w:r>
              <w:rPr>
                <w:rFonts w:ascii="Arial" w:cs="Arial" w:eastAsia="Arial" w:hAnsi="Arial"/>
                <w:sz w:val="16"/>
                <w:szCs w:val="16"/>
                <w:color w:val="auto"/>
                <w:w w:val="98"/>
              </w:rPr>
              <w:t>TWELVE MONTHS ENDED</w:t>
            </w: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6"/>
                <w:szCs w:val="16"/>
                <w:color w:val="auto"/>
              </w:rPr>
              <w:t>SEPTEMBER 30,</w:t>
            </w:r>
          </w:p>
        </w:tc>
        <w:tc>
          <w:tcPr>
            <w:tcW w:w="220" w:type="dxa"/>
            <w:vAlign w:val="bottom"/>
          </w:tcPr>
          <w:p>
            <w:pPr>
              <w:spacing w:after="0"/>
              <w:rPr>
                <w:sz w:val="17"/>
                <w:szCs w:val="17"/>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6"/>
                <w:szCs w:val="16"/>
                <w:color w:val="auto"/>
                <w:w w:val="95"/>
              </w:rPr>
              <w:t>SEPTEMBER 30,</w:t>
            </w: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color w:val="auto"/>
              </w:rPr>
              <w:t>2014</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color w:val="auto"/>
              </w:rPr>
              <w:t>2014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color w:val="auto"/>
              </w:rPr>
              <w:t>2014</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320" w:type="dxa"/>
            <w:vAlign w:val="bottom"/>
          </w:tcPr>
          <w:p>
            <w:pPr>
              <w:spacing w:after="0"/>
              <w:rPr>
                <w:sz w:val="20"/>
                <w:szCs w:val="20"/>
                <w:color w:val="auto"/>
              </w:rPr>
            </w:pPr>
            <w:r>
              <w:rPr>
                <w:rFonts w:ascii="Arial" w:cs="Arial" w:eastAsia="Arial" w:hAnsi="Arial"/>
                <w:sz w:val="16"/>
                <w:szCs w:val="16"/>
                <w:b w:val="1"/>
                <w:bCs w:val="1"/>
                <w:color w:val="auto"/>
              </w:rPr>
              <w:t>Results of Consolidated Operations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80"/>
              <w:spacing w:after="0" w:line="172" w:lineRule="exact"/>
              <w:rPr>
                <w:sz w:val="20"/>
                <w:szCs w:val="20"/>
                <w:color w:val="auto"/>
              </w:rPr>
            </w:pPr>
            <w:r>
              <w:rPr>
                <w:rFonts w:ascii="Arial" w:cs="Arial" w:eastAsia="Arial" w:hAnsi="Arial"/>
                <w:sz w:val="16"/>
                <w:szCs w:val="16"/>
                <w:color w:val="auto"/>
              </w:rPr>
              <w:t>Contribution to net income (loss) - gas</w:t>
            </w:r>
          </w:p>
        </w:tc>
        <w:tc>
          <w:tcPr>
            <w:tcW w:w="22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(11,452)</w:t>
            </w: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(11,939)</w:t>
            </w:r>
          </w:p>
        </w:tc>
        <w:tc>
          <w:tcPr>
            <w:tcW w:w="22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62,945</w:t>
            </w:r>
          </w:p>
        </w:tc>
        <w:tc>
          <w:tcPr>
            <w:tcW w:w="24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69,317</w:t>
            </w: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117,797</w:t>
            </w:r>
          </w:p>
        </w:tc>
        <w:tc>
          <w:tcPr>
            <w:tcW w:w="24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121,327</w:t>
            </w: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operations</w:t>
            </w:r>
          </w:p>
        </w:tc>
        <w:tc>
          <w:tcPr>
            <w:tcW w:w="22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320" w:type="dxa"/>
            <w:vAlign w:val="bottom"/>
          </w:tcPr>
          <w:p>
            <w:pPr>
              <w:ind w:left="80"/>
              <w:spacing w:after="0" w:line="172" w:lineRule="exact"/>
              <w:rPr>
                <w:sz w:val="20"/>
                <w:szCs w:val="20"/>
                <w:color w:val="auto"/>
              </w:rPr>
            </w:pPr>
            <w:r>
              <w:rPr>
                <w:rFonts w:ascii="Arial" w:cs="Arial" w:eastAsia="Arial" w:hAnsi="Arial"/>
                <w:sz w:val="16"/>
                <w:szCs w:val="16"/>
                <w:color w:val="auto"/>
              </w:rPr>
              <w:t>Contribution to net income - construction</w:t>
            </w:r>
          </w:p>
        </w:tc>
        <w:tc>
          <w:tcPr>
            <w:tcW w:w="2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13,422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9,075</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19,435</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18,700</w:t>
            </w:r>
          </w:p>
        </w:tc>
        <w:tc>
          <w:tcPr>
            <w:tcW w:w="180" w:type="dxa"/>
            <w:vAlign w:val="bottom"/>
          </w:tcPr>
          <w:p>
            <w:pPr>
              <w:spacing w:after="0"/>
              <w:rPr>
                <w:sz w:val="14"/>
                <w:szCs w:val="1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21,886</w:t>
            </w:r>
          </w:p>
        </w:tc>
        <w:tc>
          <w:tcPr>
            <w:tcW w:w="24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29,083</w:t>
            </w:r>
          </w:p>
        </w:tc>
        <w:tc>
          <w:tcPr>
            <w:tcW w:w="0" w:type="dxa"/>
            <w:vAlign w:val="bottom"/>
          </w:tcPr>
          <w:p>
            <w:pPr>
              <w:spacing w:after="0"/>
              <w:rPr>
                <w:sz w:val="1"/>
                <w:szCs w:val="1"/>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services</w:t>
            </w: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(2,864)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82,380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88,017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139,683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150,410</w:t>
            </w:r>
          </w:p>
        </w:tc>
        <w:tc>
          <w:tcPr>
            <w:tcW w:w="0" w:type="dxa"/>
            <w:vAlign w:val="bottom"/>
          </w:tcPr>
          <w:p>
            <w:pPr>
              <w:spacing w:after="0"/>
              <w:rPr>
                <w:sz w:val="1"/>
                <w:szCs w:val="1"/>
                <w:color w:val="auto"/>
              </w:rPr>
            </w:pPr>
          </w:p>
        </w:tc>
      </w:tr>
      <w:tr>
        <w:trPr>
          <w:trHeight w:val="187"/>
        </w:trPr>
        <w:tc>
          <w:tcPr>
            <w:tcW w:w="3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(loss) per share</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20" w:type="dxa"/>
            <w:vAlign w:val="bottom"/>
          </w:tcPr>
          <w:p>
            <w:pPr>
              <w:ind w:left="80"/>
              <w:spacing w:after="0"/>
              <w:rPr>
                <w:sz w:val="20"/>
                <w:szCs w:val="20"/>
                <w:color w:val="auto"/>
              </w:rPr>
            </w:pPr>
            <w:r>
              <w:rPr>
                <w:rFonts w:ascii="Arial" w:cs="Arial" w:eastAsia="Arial" w:hAnsi="Arial"/>
                <w:sz w:val="16"/>
                <w:szCs w:val="16"/>
                <w:color w:val="auto"/>
              </w:rPr>
              <w:t>Diluted earnings (loss) per share</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(0.06)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1.76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2.98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20" w:type="dxa"/>
            <w:vAlign w:val="bottom"/>
          </w:tcPr>
          <w:p>
            <w:pPr>
              <w:ind w:left="80"/>
              <w:spacing w:after="0"/>
              <w:rPr>
                <w:sz w:val="20"/>
                <w:szCs w:val="20"/>
                <w:color w:val="auto"/>
              </w:rPr>
            </w:pPr>
            <w:r>
              <w:rPr>
                <w:rFonts w:ascii="Arial" w:cs="Arial" w:eastAsia="Arial" w:hAnsi="Arial"/>
                <w:sz w:val="16"/>
                <w:szCs w:val="16"/>
                <w:color w:val="auto"/>
              </w:rPr>
              <w:t>Average outstanding common shares</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46,513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46,337</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46,485</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46,306</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46,451</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46,265</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80"/>
              <w:spacing w:after="0" w:line="172" w:lineRule="exact"/>
              <w:rPr>
                <w:sz w:val="20"/>
                <w:szCs w:val="20"/>
                <w:color w:val="auto"/>
              </w:rPr>
            </w:pPr>
            <w:r>
              <w:rPr>
                <w:rFonts w:ascii="Arial" w:cs="Arial" w:eastAsia="Arial" w:hAnsi="Arial"/>
                <w:sz w:val="16"/>
                <w:szCs w:val="16"/>
                <w:color w:val="auto"/>
              </w:rPr>
              <w:t>Average shares outstanding (assuming</w:t>
            </w:r>
          </w:p>
        </w:tc>
        <w:tc>
          <w:tcPr>
            <w:tcW w:w="2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46,966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46,928</w:t>
            </w:r>
          </w:p>
        </w:tc>
        <w:tc>
          <w:tcPr>
            <w:tcW w:w="2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46,732</w:t>
            </w:r>
          </w:p>
        </w:tc>
        <w:tc>
          <w:tcPr>
            <w:tcW w:w="1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46,904</w:t>
            </w: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46,704</w:t>
            </w: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dilution)</w:t>
            </w:r>
          </w:p>
        </w:tc>
        <w:tc>
          <w:tcPr>
            <w:tcW w:w="2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6"/>
                <w:szCs w:val="16"/>
                <w:b w:val="1"/>
                <w:bCs w:val="1"/>
                <w:color w:val="auto"/>
              </w:rPr>
              <w:t>Results of Natural Gas Operations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Gas operating revenues</w:t>
            </w: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226,027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195,031</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983,999</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927,500</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1,356,653</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1,267,025</w:t>
            </w:r>
          </w:p>
        </w:tc>
        <w:tc>
          <w:tcPr>
            <w:tcW w:w="0" w:type="dxa"/>
            <w:vAlign w:val="bottom"/>
          </w:tcPr>
          <w:p>
            <w:pPr>
              <w:spacing w:after="0"/>
              <w:rPr>
                <w:sz w:val="1"/>
                <w:szCs w:val="1"/>
                <w:color w:val="auto"/>
              </w:rPr>
            </w:pPr>
          </w:p>
        </w:tc>
      </w:tr>
      <w:tr>
        <w:trPr>
          <w:trHeight w:val="197"/>
        </w:trPr>
        <w:tc>
          <w:tcPr>
            <w:tcW w:w="3320" w:type="dxa"/>
            <w:vAlign w:val="bottom"/>
          </w:tcPr>
          <w:p>
            <w:pPr>
              <w:ind w:left="80"/>
              <w:spacing w:after="0"/>
              <w:rPr>
                <w:sz w:val="20"/>
                <w:szCs w:val="20"/>
                <w:color w:val="auto"/>
              </w:rPr>
            </w:pPr>
            <w:r>
              <w:rPr>
                <w:rFonts w:ascii="Arial" w:cs="Arial" w:eastAsia="Arial" w:hAnsi="Arial"/>
                <w:sz w:val="16"/>
                <w:szCs w:val="16"/>
                <w:color w:val="auto"/>
              </w:rPr>
              <w:t>Net cost of gas sold</w:t>
            </w:r>
          </w:p>
        </w:tc>
        <w:tc>
          <w:tcPr>
            <w:tcW w:w="3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72,987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47,746</w:t>
            </w: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362,349</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317,742</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480,608</w:t>
            </w:r>
          </w:p>
        </w:tc>
        <w:tc>
          <w:tcPr>
            <w:tcW w:w="2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409,361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margin</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153,040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147,285</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621,650</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609,758</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876,045</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857,664</w:t>
            </w:r>
          </w:p>
        </w:tc>
        <w:tc>
          <w:tcPr>
            <w:tcW w:w="0" w:type="dxa"/>
            <w:vAlign w:val="bottom"/>
          </w:tcPr>
          <w:p>
            <w:pPr>
              <w:spacing w:after="0"/>
              <w:rPr>
                <w:sz w:val="1"/>
                <w:szCs w:val="1"/>
                <w:color w:val="auto"/>
              </w:rPr>
            </w:pPr>
          </w:p>
        </w:tc>
      </w:tr>
      <w:tr>
        <w:trPr>
          <w:trHeight w:val="197"/>
        </w:trPr>
        <w:tc>
          <w:tcPr>
            <w:tcW w:w="3320" w:type="dxa"/>
            <w:vAlign w:val="bottom"/>
          </w:tcPr>
          <w:p>
            <w:pPr>
              <w:ind w:left="80"/>
              <w:spacing w:after="0"/>
              <w:rPr>
                <w:sz w:val="20"/>
                <w:szCs w:val="20"/>
                <w:color w:val="auto"/>
              </w:rPr>
            </w:pPr>
            <w:r>
              <w:rPr>
                <w:rFonts w:ascii="Arial" w:cs="Arial" w:eastAsia="Arial" w:hAnsi="Arial"/>
                <w:sz w:val="16"/>
                <w:szCs w:val="16"/>
                <w:color w:val="auto"/>
              </w:rPr>
              <w:t>Operations and maintenance expense</w:t>
            </w:r>
          </w:p>
        </w:tc>
        <w:tc>
          <w:tcPr>
            <w:tcW w:w="3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93,389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95,981</w:t>
            </w: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293,417</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288,003</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390,328</w:t>
            </w:r>
          </w:p>
        </w:tc>
        <w:tc>
          <w:tcPr>
            <w:tcW w:w="2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379,621</w:t>
            </w: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50,533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48,427</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152,540</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144,492</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201,896</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191,099</w:t>
            </w:r>
          </w:p>
        </w:tc>
        <w:tc>
          <w:tcPr>
            <w:tcW w:w="0" w:type="dxa"/>
            <w:vAlign w:val="bottom"/>
          </w:tcPr>
          <w:p>
            <w:pPr>
              <w:spacing w:after="0"/>
              <w:rPr>
                <w:sz w:val="1"/>
                <w:szCs w:val="1"/>
                <w:color w:val="auto"/>
              </w:rPr>
            </w:pPr>
          </w:p>
        </w:tc>
      </w:tr>
      <w:tr>
        <w:trPr>
          <w:trHeight w:val="197"/>
        </w:trPr>
        <w:tc>
          <w:tcPr>
            <w:tcW w:w="3320" w:type="dxa"/>
            <w:vAlign w:val="bottom"/>
          </w:tcPr>
          <w:p>
            <w:pPr>
              <w:ind w:left="80"/>
              <w:spacing w:after="0"/>
              <w:rPr>
                <w:sz w:val="20"/>
                <w:szCs w:val="20"/>
                <w:color w:val="auto"/>
              </w:rPr>
            </w:pPr>
            <w:r>
              <w:rPr>
                <w:rFonts w:ascii="Arial" w:cs="Arial" w:eastAsia="Arial" w:hAnsi="Arial"/>
                <w:sz w:val="16"/>
                <w:szCs w:val="16"/>
                <w:color w:val="auto"/>
              </w:rPr>
              <w:t>Taxes other than income taxes</w:t>
            </w:r>
          </w:p>
        </w:tc>
        <w:tc>
          <w:tcPr>
            <w:tcW w:w="3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11,835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11,153</w:t>
            </w: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34,256</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34,021</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45,786</w:t>
            </w:r>
          </w:p>
        </w:tc>
        <w:tc>
          <w:tcPr>
            <w:tcW w:w="2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44,684</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income (loss)</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(8,276)</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141,437</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143,242</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238,035</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242,260</w:t>
            </w:r>
          </w:p>
        </w:tc>
        <w:tc>
          <w:tcPr>
            <w:tcW w:w="0" w:type="dxa"/>
            <w:vAlign w:val="bottom"/>
          </w:tcPr>
          <w:p>
            <w:pPr>
              <w:spacing w:after="0"/>
              <w:rPr>
                <w:sz w:val="1"/>
                <w:szCs w:val="1"/>
                <w:color w:val="auto"/>
              </w:rPr>
            </w:pPr>
          </w:p>
        </w:tc>
      </w:tr>
      <w:tr>
        <w:trPr>
          <w:trHeight w:val="197"/>
        </w:trPr>
        <w:tc>
          <w:tcPr>
            <w:tcW w:w="3320" w:type="dxa"/>
            <w:vAlign w:val="bottom"/>
          </w:tcPr>
          <w:p>
            <w:pPr>
              <w:ind w:left="80"/>
              <w:spacing w:after="0"/>
              <w:rPr>
                <w:sz w:val="20"/>
                <w:szCs w:val="20"/>
                <w:color w:val="auto"/>
              </w:rPr>
            </w:pPr>
            <w:r>
              <w:rPr>
                <w:rFonts w:ascii="Arial" w:cs="Arial" w:eastAsia="Arial" w:hAnsi="Arial"/>
                <w:sz w:val="16"/>
                <w:szCs w:val="16"/>
                <w:color w:val="auto"/>
              </w:rPr>
              <w:t>Other income (deductions)</w:t>
            </w:r>
          </w:p>
        </w:tc>
        <w:tc>
          <w:tcPr>
            <w:tcW w:w="3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2,663</w:t>
            </w: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4,902</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8,174</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8,989</w:t>
            </w:r>
          </w:p>
        </w:tc>
        <w:tc>
          <w:tcPr>
            <w:tcW w:w="2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8,022</w:t>
            </w: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interest deductions</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17,159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14,780</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51,445</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45,344</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68,656</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61,224</w:t>
            </w:r>
          </w:p>
        </w:tc>
        <w:tc>
          <w:tcPr>
            <w:tcW w:w="0" w:type="dxa"/>
            <w:vAlign w:val="bottom"/>
          </w:tcPr>
          <w:p>
            <w:pPr>
              <w:spacing w:after="0"/>
              <w:rPr>
                <w:sz w:val="1"/>
                <w:szCs w:val="1"/>
                <w:color w:val="auto"/>
              </w:rPr>
            </w:pPr>
          </w:p>
        </w:tc>
      </w:tr>
      <w:tr>
        <w:trPr>
          <w:trHeight w:val="25"/>
        </w:trPr>
        <w:tc>
          <w:tcPr>
            <w:tcW w:w="3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tcPr>
          <w:p>
            <w:pPr>
              <w:ind w:left="8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(19,434)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(20,393)</w:t>
            </w: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94,894</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106,072</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178,368</w:t>
            </w:r>
          </w:p>
        </w:tc>
        <w:tc>
          <w:tcPr>
            <w:tcW w:w="2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189,058</w:t>
            </w: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tax expense (benefit)</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(8,454)</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31,949</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36,755</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60,571</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67,731</w:t>
            </w:r>
          </w:p>
        </w:tc>
        <w:tc>
          <w:tcPr>
            <w:tcW w:w="0" w:type="dxa"/>
            <w:vAlign w:val="bottom"/>
          </w:tcPr>
          <w:p>
            <w:pPr>
              <w:spacing w:after="0"/>
              <w:rPr>
                <w:sz w:val="1"/>
                <w:szCs w:val="1"/>
                <w:color w:val="auto"/>
              </w:rPr>
            </w:pPr>
          </w:p>
        </w:tc>
      </w:tr>
      <w:tr>
        <w:trPr>
          <w:trHeight w:val="25"/>
        </w:trPr>
        <w:tc>
          <w:tcPr>
            <w:tcW w:w="3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320" w:type="dxa"/>
            <w:vAlign w:val="bottom"/>
          </w:tcPr>
          <w:p>
            <w:pPr>
              <w:ind w:left="80"/>
              <w:spacing w:after="0" w:line="172" w:lineRule="exact"/>
              <w:rPr>
                <w:sz w:val="20"/>
                <w:szCs w:val="20"/>
                <w:color w:val="auto"/>
              </w:rPr>
            </w:pPr>
            <w:r>
              <w:rPr>
                <w:rFonts w:ascii="Arial" w:cs="Arial" w:eastAsia="Arial" w:hAnsi="Arial"/>
                <w:sz w:val="16"/>
                <w:szCs w:val="16"/>
                <w:color w:val="auto"/>
              </w:rPr>
              <w:t>Contribution to net income (loss) - gas</w:t>
            </w:r>
          </w:p>
        </w:tc>
        <w:tc>
          <w:tcPr>
            <w:tcW w:w="360" w:type="dxa"/>
            <w:vAlign w:val="bottom"/>
            <w:vMerge w:val="restart"/>
          </w:tcPr>
          <w:p>
            <w:pPr>
              <w:jc w:val="right"/>
              <w:ind w:right="178"/>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(11,452)</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(11,939)</w:t>
            </w:r>
          </w:p>
        </w:tc>
        <w:tc>
          <w:tcPr>
            <w:tcW w:w="340" w:type="dxa"/>
            <w:vAlign w:val="bottom"/>
            <w:vMerge w:val="restart"/>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62,945</w:t>
            </w:r>
          </w:p>
        </w:tc>
        <w:tc>
          <w:tcPr>
            <w:tcW w:w="340" w:type="dxa"/>
            <w:vAlign w:val="bottom"/>
            <w:vMerge w:val="restart"/>
          </w:tcPr>
          <w:p>
            <w:pPr>
              <w:jc w:val="right"/>
              <w:ind w:right="183"/>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69,317</w:t>
            </w:r>
          </w:p>
        </w:tc>
        <w:tc>
          <w:tcPr>
            <w:tcW w:w="280" w:type="dxa"/>
            <w:vAlign w:val="bottom"/>
            <w:vMerge w:val="restart"/>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117,797</w:t>
            </w:r>
          </w:p>
        </w:tc>
        <w:tc>
          <w:tcPr>
            <w:tcW w:w="280" w:type="dxa"/>
            <w:vAlign w:val="bottom"/>
            <w:vMerge w:val="restart"/>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121,327</w:t>
            </w:r>
          </w:p>
        </w:tc>
        <w:tc>
          <w:tcPr>
            <w:tcW w:w="0" w:type="dxa"/>
            <w:vAlign w:val="bottom"/>
          </w:tcPr>
          <w:p>
            <w:pPr>
              <w:spacing w:after="0"/>
              <w:rPr>
                <w:sz w:val="1"/>
                <w:szCs w:val="1"/>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operations</w:t>
            </w:r>
          </w:p>
        </w:tc>
        <w:tc>
          <w:tcPr>
            <w:tcW w:w="3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4"/>
        </w:trPr>
        <w:tc>
          <w:tcPr>
            <w:tcW w:w="3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159" w:right="2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6"/>
          <w:szCs w:val="16"/>
          <w:b w:val="1"/>
          <w:bCs w:val="1"/>
          <w:color w:val="auto"/>
        </w:rPr>
        <w:t>SOUTHWEST GAS CORPORATION</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SELECTED STATISTICAL DATA</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SEPTEMBER 30, 2014</w:t>
      </w:r>
    </w:p>
    <w:p>
      <w:pPr>
        <w:sectPr>
          <w:pgSz w:w="11900" w:h="16838" w:orient="portrait"/>
          <w:cols w:equalWidth="0" w:num="1">
            <w:col w:w="11420"/>
          </w:cols>
          <w:pgMar w:left="240" w:top="493" w:right="2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STATISTICS</w:t>
      </w:r>
    </w:p>
    <w:p>
      <w:pPr>
        <w:spacing w:after="0" w:line="28" w:lineRule="exact"/>
        <w:rPr>
          <w:sz w:val="20"/>
          <w:szCs w:val="20"/>
          <w:color w:val="auto"/>
        </w:rPr>
      </w:pPr>
    </w:p>
    <w:p>
      <w:pPr>
        <w:ind w:right="2220"/>
        <w:spacing w:after="0" w:line="274" w:lineRule="auto"/>
        <w:rPr>
          <w:sz w:val="20"/>
          <w:szCs w:val="20"/>
          <w:color w:val="auto"/>
        </w:rPr>
      </w:pPr>
      <w:r>
        <w:rPr>
          <w:rFonts w:ascii="Arial" w:cs="Arial" w:eastAsia="Arial" w:hAnsi="Arial"/>
          <w:sz w:val="15"/>
          <w:szCs w:val="15"/>
          <w:color w:val="auto"/>
        </w:rPr>
        <w:t>Market value to book value per share at quarter end Twelve months to date return on equity -- total company</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gas segment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Common stock dividend yield at quarter end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Customer to employee ratio at quarter end (gas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right"/>
        <w:ind w:right="4180"/>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-108585</wp:posOffset>
            </wp:positionV>
            <wp:extent cx="7258685" cy="125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125095"/>
                    </a:xfrm>
                    <a:prstGeom prst="rect">
                      <a:avLst/>
                    </a:prstGeom>
                    <a:noFill/>
                  </pic:spPr>
                </pic:pic>
              </a:graphicData>
            </a:graphic>
          </wp:anchor>
        </w:drawing>
      </w:r>
    </w:p>
    <w:p>
      <w:pPr>
        <w:spacing w:after="0" w:line="4" w:lineRule="exact"/>
        <w:rPr>
          <w:sz w:val="20"/>
          <w:szCs w:val="20"/>
          <w:color w:val="auto"/>
        </w:rPr>
      </w:pPr>
    </w:p>
    <w:p>
      <w:pPr>
        <w:jc w:val="right"/>
        <w:ind w:right="4180"/>
        <w:spacing w:after="0"/>
        <w:rPr>
          <w:sz w:val="20"/>
          <w:szCs w:val="20"/>
          <w:color w:val="auto"/>
        </w:rPr>
      </w:pPr>
      <w:r>
        <w:rPr>
          <w:rFonts w:ascii="Arial" w:cs="Arial" w:eastAsia="Arial" w:hAnsi="Arial"/>
          <w:sz w:val="16"/>
          <w:szCs w:val="16"/>
          <w:color w:val="auto"/>
        </w:rPr>
        <w:t>9.7%</w:t>
      </w:r>
    </w:p>
    <w:p>
      <w:pPr>
        <w:spacing w:after="0" w:line="13" w:lineRule="exact"/>
        <w:rPr>
          <w:sz w:val="20"/>
          <w:szCs w:val="20"/>
          <w:color w:val="auto"/>
        </w:rPr>
      </w:pPr>
    </w:p>
    <w:p>
      <w:pPr>
        <w:jc w:val="right"/>
        <w:ind w:right="418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-115570</wp:posOffset>
            </wp:positionV>
            <wp:extent cx="7258685" cy="125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125095"/>
                    </a:xfrm>
                    <a:prstGeom prst="rect">
                      <a:avLst/>
                    </a:prstGeom>
                    <a:noFill/>
                  </pic:spPr>
                </pic:pic>
              </a:graphicData>
            </a:graphic>
          </wp:anchor>
        </w:drawing>
      </w:r>
    </w:p>
    <w:p>
      <w:pPr>
        <w:jc w:val="right"/>
        <w:ind w:right="4180"/>
        <w:spacing w:after="0"/>
        <w:rPr>
          <w:sz w:val="20"/>
          <w:szCs w:val="20"/>
          <w:color w:val="auto"/>
        </w:rPr>
      </w:pPr>
      <w:r>
        <w:rPr>
          <w:rFonts w:ascii="Arial" w:cs="Arial" w:eastAsia="Arial" w:hAnsi="Arial"/>
          <w:sz w:val="16"/>
          <w:szCs w:val="16"/>
          <w:color w:val="auto"/>
        </w:rPr>
        <w:t>3.0%</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876 to1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-115570</wp:posOffset>
            </wp:positionV>
            <wp:extent cx="7258685" cy="12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125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740"/>
          </w:cols>
          <w:pgMar w:left="240" w:top="493"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GAS OPERATIONS SEGMENT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6"/>
              </w:rPr>
              <w:t>Authorized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78"/>
              <w:spacing w:after="0"/>
              <w:rPr>
                <w:sz w:val="20"/>
                <w:szCs w:val="20"/>
                <w:color w:val="auto"/>
              </w:rPr>
            </w:pPr>
            <w:r>
              <w:rPr>
                <w:rFonts w:ascii="Arial" w:cs="Arial" w:eastAsia="Arial" w:hAnsi="Arial"/>
                <w:sz w:val="16"/>
                <w:szCs w:val="16"/>
                <w:color w:val="auto"/>
              </w:rPr>
              <w:t>Authorized</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Authorized</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Return on</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18"/>
              <w:spacing w:after="0"/>
              <w:rPr>
                <w:sz w:val="20"/>
                <w:szCs w:val="20"/>
                <w:color w:val="auto"/>
              </w:rPr>
            </w:pPr>
            <w:r>
              <w:rPr>
                <w:rFonts w:ascii="Arial" w:cs="Arial" w:eastAsia="Arial" w:hAnsi="Arial"/>
                <w:sz w:val="16"/>
                <w:szCs w:val="16"/>
                <w:color w:val="auto"/>
                <w:w w:val="98"/>
              </w:rPr>
              <w:t>Rate Base</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Rate of</w:t>
            </w:r>
          </w:p>
        </w:tc>
        <w:tc>
          <w:tcPr>
            <w:tcW w:w="1320" w:type="dxa"/>
            <w:vAlign w:val="bottom"/>
          </w:tcPr>
          <w:p>
            <w:pPr>
              <w:jc w:val="center"/>
              <w:spacing w:after="0"/>
              <w:rPr>
                <w:sz w:val="20"/>
                <w:szCs w:val="20"/>
                <w:color w:val="auto"/>
              </w:rPr>
            </w:pPr>
            <w:r>
              <w:rPr>
                <w:rFonts w:ascii="Arial" w:cs="Arial" w:eastAsia="Arial" w:hAnsi="Arial"/>
                <w:sz w:val="16"/>
                <w:szCs w:val="16"/>
                <w:color w:val="auto"/>
                <w:w w:val="95"/>
              </w:rPr>
              <w:t>Common</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Rate Jurisdiction</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93"/>
              </w:rPr>
              <w:t>(In thousands)</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1"/>
              </w:rPr>
              <w:t>Return</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Equity</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Arial" w:cs="Arial" w:eastAsia="Arial" w:hAnsi="Arial"/>
                <w:sz w:val="16"/>
                <w:szCs w:val="16"/>
                <w:color w:val="auto"/>
              </w:rPr>
              <w:t>Arizona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1,070,117</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8.95%</w:t>
            </w:r>
          </w:p>
        </w:tc>
        <w:tc>
          <w:tcPr>
            <w:tcW w:w="1320" w:type="dxa"/>
            <w:vAlign w:val="bottom"/>
          </w:tcPr>
          <w:p>
            <w:pPr>
              <w:jc w:val="right"/>
              <w:spacing w:after="0"/>
              <w:rPr>
                <w:sz w:val="20"/>
                <w:szCs w:val="20"/>
                <w:color w:val="auto"/>
              </w:rPr>
            </w:pPr>
            <w:r>
              <w:rPr>
                <w:rFonts w:ascii="Arial" w:cs="Arial" w:eastAsia="Arial" w:hAnsi="Arial"/>
                <w:sz w:val="16"/>
                <w:szCs w:val="16"/>
                <w:color w:val="auto"/>
              </w:rPr>
              <w:t>9.50%</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Southern Nevada</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825,190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6.52</w:t>
            </w: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10.00</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Northern Nevada</w:t>
            </w:r>
          </w:p>
        </w:tc>
        <w:tc>
          <w:tcPr>
            <w:tcW w:w="140" w:type="dxa"/>
            <w:vAlign w:val="bottom"/>
          </w:tcPr>
          <w:p>
            <w:pPr>
              <w:spacing w:after="0"/>
              <w:rPr>
                <w:sz w:val="17"/>
                <w:szCs w:val="17"/>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115,933</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7.88</w:t>
            </w: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9.30</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Southern California</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159,277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6.83</w:t>
            </w: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10.10</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Northern California</w:t>
            </w:r>
          </w:p>
        </w:tc>
        <w:tc>
          <w:tcPr>
            <w:tcW w:w="140" w:type="dxa"/>
            <w:vAlign w:val="bottom"/>
          </w:tcPr>
          <w:p>
            <w:pPr>
              <w:spacing w:after="0"/>
              <w:rPr>
                <w:sz w:val="17"/>
                <w:szCs w:val="17"/>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67,620</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8.18</w:t>
            </w: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10.10</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South Lake Tahoe</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25,389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8.18</w:t>
            </w: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10.10</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Paiute Pipeline Company (1)</w:t>
            </w:r>
          </w:p>
        </w:tc>
        <w:tc>
          <w:tcPr>
            <w:tcW w:w="140" w:type="dxa"/>
            <w:vAlign w:val="bottom"/>
          </w:tcPr>
          <w:p>
            <w:pPr>
              <w:spacing w:after="0"/>
              <w:rPr>
                <w:sz w:val="17"/>
                <w:szCs w:val="17"/>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84,717</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9.47</w:t>
            </w: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12.00</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Arial" w:cs="Arial" w:eastAsia="Arial" w:hAnsi="Arial"/>
                <w:sz w:val="16"/>
                <w:szCs w:val="16"/>
                <w:color w:val="auto"/>
              </w:rPr>
              <w:t>(1) Estimated amounts based on 2010 rate case settlement.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SYSTEM THROUGHPUT BY CUSTOMER CLASS</w:t>
            </w:r>
          </w:p>
        </w:tc>
        <w:tc>
          <w:tcPr>
            <w:tcW w:w="140" w:type="dxa"/>
            <w:vAlign w:val="bottom"/>
          </w:tcPr>
          <w:p>
            <w:pPr>
              <w:spacing w:after="0"/>
              <w:rPr>
                <w:sz w:val="24"/>
                <w:szCs w:val="24"/>
                <w:color w:val="auto"/>
              </w:rPr>
            </w:pPr>
          </w:p>
        </w:tc>
        <w:tc>
          <w:tcPr>
            <w:tcW w:w="2660" w:type="dxa"/>
            <w:vAlign w:val="bottom"/>
            <w:gridSpan w:val="3"/>
            <w:vMerge w:val="restart"/>
          </w:tcPr>
          <w:p>
            <w:pPr>
              <w:jc w:val="right"/>
              <w:ind w:right="660"/>
              <w:spacing w:after="0"/>
              <w:rPr>
                <w:sz w:val="20"/>
                <w:szCs w:val="20"/>
                <w:color w:val="auto"/>
              </w:rPr>
            </w:pPr>
            <w:r>
              <w:rPr>
                <w:rFonts w:ascii="Arial" w:cs="Arial" w:eastAsia="Arial" w:hAnsi="Arial"/>
                <w:sz w:val="16"/>
                <w:szCs w:val="16"/>
                <w:color w:val="auto"/>
              </w:rPr>
              <w:t>NINE MONTHS ENDED</w:t>
            </w:r>
          </w:p>
        </w:tc>
        <w:tc>
          <w:tcPr>
            <w:tcW w:w="2660" w:type="dxa"/>
            <w:vAlign w:val="bottom"/>
            <w:gridSpan w:val="3"/>
            <w:vMerge w:val="restart"/>
          </w:tcPr>
          <w:p>
            <w:pPr>
              <w:jc w:val="center"/>
              <w:ind w:right="100"/>
              <w:spacing w:after="0"/>
              <w:rPr>
                <w:sz w:val="20"/>
                <w:szCs w:val="20"/>
                <w:color w:val="auto"/>
              </w:rPr>
            </w:pPr>
            <w:r>
              <w:rPr>
                <w:rFonts w:ascii="Arial" w:cs="Arial" w:eastAsia="Arial" w:hAnsi="Arial"/>
                <w:sz w:val="16"/>
                <w:szCs w:val="16"/>
                <w:color w:val="auto"/>
                <w:w w:val="99"/>
              </w:rPr>
              <w:t>TWELVE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3"/>
            <w:vMerge w:val="continue"/>
          </w:tcPr>
          <w:p>
            <w:pPr>
              <w:spacing w:after="0"/>
              <w:rPr>
                <w:sz w:val="16"/>
                <w:szCs w:val="16"/>
                <w:color w:val="auto"/>
              </w:rPr>
            </w:pPr>
          </w:p>
        </w:tc>
        <w:tc>
          <w:tcPr>
            <w:tcW w:w="2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3"/>
          </w:tcPr>
          <w:p>
            <w:pPr>
              <w:jc w:val="right"/>
              <w:ind w:right="940"/>
              <w:spacing w:after="0"/>
              <w:rPr>
                <w:sz w:val="20"/>
                <w:szCs w:val="20"/>
                <w:color w:val="auto"/>
              </w:rPr>
            </w:pPr>
            <w:r>
              <w:rPr>
                <w:rFonts w:ascii="Arial" w:cs="Arial" w:eastAsia="Arial" w:hAnsi="Arial"/>
                <w:sz w:val="16"/>
                <w:szCs w:val="16"/>
                <w:color w:val="auto"/>
              </w:rPr>
              <w:t>SEPTEMBER 30,</w:t>
            </w:r>
          </w:p>
        </w:tc>
        <w:tc>
          <w:tcPr>
            <w:tcW w:w="2660" w:type="dxa"/>
            <w:vAlign w:val="bottom"/>
            <w:gridSpan w:val="3"/>
          </w:tcPr>
          <w:p>
            <w:pPr>
              <w:jc w:val="center"/>
              <w:ind w:right="100"/>
              <w:spacing w:after="0"/>
              <w:rPr>
                <w:sz w:val="20"/>
                <w:szCs w:val="20"/>
                <w:color w:val="auto"/>
              </w:rPr>
            </w:pPr>
            <w:r>
              <w:rPr>
                <w:rFonts w:ascii="Arial" w:cs="Arial" w:eastAsia="Arial" w:hAnsi="Arial"/>
                <w:sz w:val="16"/>
                <w:szCs w:val="16"/>
                <w:color w:val="auto"/>
                <w:w w:val="95"/>
              </w:rPr>
              <w:t>SEPTEMBER 30,</w:t>
            </w:r>
          </w:p>
        </w:tc>
        <w:tc>
          <w:tcPr>
            <w:tcW w:w="0" w:type="dxa"/>
            <w:vAlign w:val="bottom"/>
          </w:tcPr>
          <w:p>
            <w:pPr>
              <w:spacing w:after="0"/>
              <w:rPr>
                <w:sz w:val="1"/>
                <w:szCs w:val="1"/>
                <w:color w:val="auto"/>
              </w:rPr>
            </w:pPr>
          </w:p>
        </w:tc>
      </w:tr>
      <w:tr>
        <w:trPr>
          <w:trHeight w:val="202"/>
        </w:trPr>
        <w:tc>
          <w:tcPr>
            <w:tcW w:w="5960" w:type="dxa"/>
            <w:vAlign w:val="bottom"/>
            <w:gridSpan w:val="2"/>
          </w:tcPr>
          <w:p>
            <w:pPr>
              <w:spacing w:after="0"/>
              <w:rPr>
                <w:sz w:val="20"/>
                <w:szCs w:val="20"/>
                <w:color w:val="auto"/>
              </w:rPr>
            </w:pPr>
            <w:r>
              <w:rPr>
                <w:rFonts w:ascii="Arial" w:cs="Arial" w:eastAsia="Arial" w:hAnsi="Arial"/>
                <w:sz w:val="16"/>
                <w:szCs w:val="16"/>
                <w:color w:val="auto"/>
              </w:rPr>
              <w:t>(In dekatherms)</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18"/>
              <w:spacing w:after="0"/>
              <w:rPr>
                <w:sz w:val="20"/>
                <w:szCs w:val="20"/>
                <w:color w:val="auto"/>
              </w:rPr>
            </w:pPr>
            <w:r>
              <w:rPr>
                <w:rFonts w:ascii="Arial" w:cs="Arial" w:eastAsia="Arial" w:hAnsi="Arial"/>
                <w:sz w:val="16"/>
                <w:szCs w:val="16"/>
                <w:color w:val="auto"/>
              </w:rPr>
              <w:t>2014</w:t>
            </w:r>
          </w:p>
        </w:tc>
        <w:tc>
          <w:tcPr>
            <w:tcW w:w="1140" w:type="dxa"/>
            <w:vAlign w:val="bottom"/>
            <w:tcBorders>
              <w:top w:val="single" w:sz="8" w:color="auto"/>
            </w:tcBorders>
          </w:tcPr>
          <w:p>
            <w:pPr>
              <w:jc w:val="center"/>
              <w:ind w:left="18"/>
              <w:spacing w:after="0"/>
              <w:rPr>
                <w:sz w:val="20"/>
                <w:szCs w:val="20"/>
                <w:color w:val="auto"/>
              </w:rPr>
            </w:pPr>
            <w:r>
              <w:rPr>
                <w:rFonts w:ascii="Arial" w:cs="Arial" w:eastAsia="Arial" w:hAnsi="Arial"/>
                <w:sz w:val="16"/>
                <w:szCs w:val="16"/>
                <w:color w:val="auto"/>
                <w:w w:val="89"/>
              </w:rPr>
              <w:t>2013</w:t>
            </w:r>
          </w:p>
        </w:tc>
        <w:tc>
          <w:tcPr>
            <w:tcW w:w="260" w:type="dxa"/>
            <w:vAlign w:val="bottom"/>
          </w:tcPr>
          <w:p>
            <w:pPr>
              <w:spacing w:after="0"/>
              <w:rPr>
                <w:sz w:val="17"/>
                <w:szCs w:val="17"/>
                <w:color w:val="auto"/>
              </w:rPr>
            </w:pPr>
          </w:p>
        </w:tc>
        <w:tc>
          <w:tcPr>
            <w:tcW w:w="1320" w:type="dxa"/>
            <w:vAlign w:val="bottom"/>
            <w:tcBorders>
              <w:top w:val="single" w:sz="8" w:color="auto"/>
            </w:tcBorders>
          </w:tcPr>
          <w:p>
            <w:pPr>
              <w:jc w:val="right"/>
              <w:ind w:right="458"/>
              <w:spacing w:after="0"/>
              <w:rPr>
                <w:sz w:val="20"/>
                <w:szCs w:val="20"/>
                <w:color w:val="auto"/>
              </w:rPr>
            </w:pPr>
            <w:r>
              <w:rPr>
                <w:rFonts w:ascii="Arial" w:cs="Arial" w:eastAsia="Arial" w:hAnsi="Arial"/>
                <w:sz w:val="16"/>
                <w:szCs w:val="16"/>
                <w:color w:val="auto"/>
              </w:rPr>
              <w:t>2014</w:t>
            </w:r>
          </w:p>
        </w:tc>
        <w:tc>
          <w:tcPr>
            <w:tcW w:w="1240" w:type="dxa"/>
            <w:vAlign w:val="bottom"/>
            <w:tcBorders>
              <w:top w:val="single" w:sz="8" w:color="auto"/>
            </w:tcBorders>
          </w:tcPr>
          <w:p>
            <w:pPr>
              <w:jc w:val="right"/>
              <w:ind w:right="258"/>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Residential</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color w:val="auto"/>
              </w:rPr>
              <w:t>46,970,931</w:t>
            </w:r>
          </w:p>
        </w:tc>
        <w:tc>
          <w:tcPr>
            <w:tcW w:w="1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56,063,787</w:t>
            </w:r>
          </w:p>
        </w:tc>
        <w:tc>
          <w:tcPr>
            <w:tcW w:w="132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65,039,826</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70,487,109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Small commercial</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20,731,310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22,161,537</w:t>
            </w: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28,374,278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28,756,989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Large commercial</w:t>
            </w:r>
          </w:p>
        </w:tc>
        <w:tc>
          <w:tcPr>
            <w:tcW w:w="140" w:type="dxa"/>
            <w:vAlign w:val="bottom"/>
          </w:tcPr>
          <w:p>
            <w:pPr>
              <w:spacing w:after="0"/>
              <w:rPr>
                <w:sz w:val="17"/>
                <w:szCs w:val="17"/>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7,211,706</w:t>
            </w:r>
          </w:p>
        </w:tc>
        <w:tc>
          <w:tcPr>
            <w:tcW w:w="1140" w:type="dxa"/>
            <w:vAlign w:val="bottom"/>
          </w:tcPr>
          <w:p>
            <w:pPr>
              <w:jc w:val="right"/>
              <w:spacing w:after="0"/>
              <w:rPr>
                <w:sz w:val="20"/>
                <w:szCs w:val="20"/>
                <w:color w:val="auto"/>
              </w:rPr>
            </w:pPr>
            <w:r>
              <w:rPr>
                <w:rFonts w:ascii="Arial" w:cs="Arial" w:eastAsia="Arial" w:hAnsi="Arial"/>
                <w:sz w:val="16"/>
                <w:szCs w:val="16"/>
                <w:color w:val="auto"/>
              </w:rPr>
              <w:t>7,792,496</w:t>
            </w:r>
          </w:p>
        </w:tc>
        <w:tc>
          <w:tcPr>
            <w:tcW w:w="260" w:type="dxa"/>
            <w:vAlign w:val="bottom"/>
          </w:tcPr>
          <w:p>
            <w:pPr>
              <w:spacing w:after="0"/>
              <w:rPr>
                <w:sz w:val="17"/>
                <w:szCs w:val="17"/>
                <w:color w:val="auto"/>
              </w:rPr>
            </w:pP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9,695,271</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10,270,799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Industrial / Other</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2,285,742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4,236,708</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3,070,083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5,444,748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Transportation</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67,868,218</w:t>
            </w:r>
          </w:p>
        </w:tc>
        <w:tc>
          <w:tcPr>
            <w:tcW w:w="14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78,072,005</w:t>
            </w: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93,587,810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102,462,559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system throughput</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145,067,907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168,326,533</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199,767,268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217,422,204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6"/>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HEATING DEGREE DAY COMPARISON</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Actual</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1,000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2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1,521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Ten-year average</w:t>
            </w:r>
          </w:p>
        </w:tc>
        <w:tc>
          <w:tcPr>
            <w:tcW w:w="140" w:type="dxa"/>
            <w:vAlign w:val="bottom"/>
          </w:tcPr>
          <w:p>
            <w:pPr>
              <w:spacing w:after="0"/>
              <w:rPr>
                <w:sz w:val="17"/>
                <w:szCs w:val="17"/>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color w:val="auto"/>
              </w:rPr>
              <w:t>1,322</w:t>
            </w:r>
          </w:p>
        </w:tc>
        <w:tc>
          <w:tcPr>
            <w:tcW w:w="1140" w:type="dxa"/>
            <w:vAlign w:val="bottom"/>
          </w:tcPr>
          <w:p>
            <w:pPr>
              <w:jc w:val="right"/>
              <w:spacing w:after="0"/>
              <w:rPr>
                <w:sz w:val="20"/>
                <w:szCs w:val="20"/>
                <w:color w:val="auto"/>
              </w:rPr>
            </w:pPr>
            <w:r>
              <w:rPr>
                <w:rFonts w:ascii="Arial" w:cs="Arial" w:eastAsia="Arial" w:hAnsi="Arial"/>
                <w:sz w:val="16"/>
                <w:szCs w:val="16"/>
                <w:color w:val="auto"/>
              </w:rPr>
              <w:t>1,363</w:t>
            </w:r>
          </w:p>
        </w:tc>
        <w:tc>
          <w:tcPr>
            <w:tcW w:w="260" w:type="dxa"/>
            <w:vAlign w:val="bottom"/>
          </w:tcPr>
          <w:p>
            <w:pPr>
              <w:spacing w:after="0"/>
              <w:rPr>
                <w:sz w:val="17"/>
                <w:szCs w:val="17"/>
                <w:color w:val="auto"/>
              </w:rPr>
            </w:pPr>
          </w:p>
        </w:tc>
        <w:tc>
          <w:tcPr>
            <w:tcW w:w="1320" w:type="dxa"/>
            <w:vAlign w:val="bottom"/>
          </w:tcPr>
          <w:p>
            <w:pPr>
              <w:jc w:val="right"/>
              <w:ind w:right="118"/>
              <w:spacing w:after="0"/>
              <w:rPr>
                <w:sz w:val="20"/>
                <w:szCs w:val="20"/>
                <w:color w:val="auto"/>
              </w:rPr>
            </w:pPr>
            <w:r>
              <w:rPr>
                <w:rFonts w:ascii="Arial" w:cs="Arial" w:eastAsia="Arial" w:hAnsi="Arial"/>
                <w:sz w:val="16"/>
                <w:szCs w:val="16"/>
                <w:color w:val="auto"/>
              </w:rPr>
              <w:t>1,834</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Heating degree days for prior periods have been recalculated using the current period customer mix.</w:t>
      </w:r>
    </w:p>
    <w:sectPr>
      <w:pgSz w:w="11900" w:h="16838" w:orient="portrait"/>
      <w:cols w:equalWidth="0" w:num="1">
        <w:col w:w="11420"/>
      </w:cols>
      <w:pgMar w:left="240" w:top="49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2019-12-05T15:23:35Z</dcterms:created>
  <dcterms:modified xsi:type="dcterms:W3CDTF">2019-12-05T15:23:35Z</dcterms:modified>
</cp:coreProperties>
</file>