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SOUTHWEST GAS HOLDINGS,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001-37976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81-3881866</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4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8360 S. Durango Dr.</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Post Office Box 98510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Las Vegas, Nevada</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89193-8510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ectPr>
          <w:pgSz w:w="11900" w:h="16838" w:orient="portrait"/>
          <w:cols w:equalWidth="0" w:num="1">
            <w:col w:w="11024"/>
          </w:cols>
          <w:pgMar w:left="436" w:top="368" w:right="439" w:bottom="1440" w:gutter="0" w:footer="0" w:header="0"/>
          <w:type w:val="continuous"/>
        </w:sectPr>
      </w:pP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(702) 876-7237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Southwest Gas Holdings, Inc.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SWX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 par 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under Item 2.03 of this Current Report on Form 8-K is incorporated by reference into this Item 1.01</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240" w:firstLine="440"/>
        <w:spacing w:after="0" w:line="291" w:lineRule="auto"/>
        <w:rPr>
          <w:sz w:val="20"/>
          <w:szCs w:val="20"/>
          <w:color w:val="auto"/>
        </w:rPr>
      </w:pPr>
      <w:r>
        <w:rPr>
          <w:rFonts w:ascii="Arial" w:cs="Arial" w:eastAsia="Arial" w:hAnsi="Arial"/>
          <w:sz w:val="16"/>
          <w:szCs w:val="16"/>
          <w:color w:val="auto"/>
        </w:rPr>
        <w:t>On August 27, 2021, the transactions contemplated by that certain Agreement and Plan of Merger, dated as of June 28, 2021 (the “Merger Agreement”), by and among Centuri Group, Inc. (“Centuri”), a wholly owned subsidiary of Southwest Gas Holdings, Inc. (the “Company”), Electric T&amp;D Holdings LLC, a wholly owned subsidiary of Centuri (the “Buyer”), ETDH Merger Sub, Inc. (“Merger Sub” and together with Centuri and the Buyer, the “Company Parties”) and Drum Parent, Inc. (“Drum”) and OCM Drum Investors, L.P., as representative of certain stockholders and option holders of Drum (together with Drum, the “Seller Parties”) were completed. Pursuant to the Merger Agreement, Merger Sub will merge with and into Drum with Drum surviving as a wholly owned subsidiary of the Buyer (the “Merger”). As consideration for the Merger, Centuri paid an aggregate of $855 million in cash to the stockholders of Drum, subject to certain customary adjustments.</w:t>
      </w:r>
    </w:p>
    <w:p>
      <w:pPr>
        <w:spacing w:after="0" w:line="16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Drum is the parent company of Riggs Distler &amp; Company Inc. (“Riggs Distler”), an electric services contracting company with major investor-owned electric utility customers in the Northeast and Mid-Atlantic regions, providing unionized installation and repair services to these utility customers. As a result of the Merger, Riggs Distler has become an indirect wholly owned subsidiary of Centuri. Centuri financed the purchase price with proceeds from the Term Loan Facility (as defined below under Item 2.03).</w:t>
      </w:r>
    </w:p>
    <w:p>
      <w:pPr>
        <w:spacing w:after="0" w:line="187"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The foregoing description of the Merger Agreement and the transactions contemplated thereby is not complete and is subject to and qualified in its entirety by reference to the full text of the Merger Agreement, which was previously filed as Exhibit 2.1 to the Company’s Current Report on Form 8-K filed with the Securities and Exchange Commission (the “SEC”) on June 29, 2021 and is incorporated by reference herein.</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Important Statement regarding the Merger Agreement</w:t>
      </w:r>
      <w:r>
        <w:rPr>
          <w:rFonts w:ascii="Arial" w:cs="Arial" w:eastAsia="Arial" w:hAnsi="Arial"/>
          <w:sz w:val="18"/>
          <w:szCs w:val="18"/>
          <w:color w:val="auto"/>
        </w:rPr>
        <w:t>. The Merger Agreement has been included to provide investors with information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Merger. It is not intended to provide any other factual information about the Company, Centuri, Drum, OCM Drum Investors, L.P. or their respective subsidiaries or affiliates. The representations, warranties, and covenants contained in the Merger Agreement were made only for purposes of the Merger Agreement and as of specific dates, were solely for the benefit of the parties to the Merger Agreement, may be subject to limitations, qualifications or other particulars agreed upon by the contracting parties, including being qualified by confidential disclosures made for the purposes of allocating contractual risk between the parties to the</w:t>
      </w:r>
    </w:p>
    <w:p>
      <w:pPr>
        <w:sectPr>
          <w:pgSz w:w="11900" w:h="16838" w:orient="portrait"/>
          <w:cols w:equalWidth="0" w:num="1">
            <w:col w:w="11000"/>
          </w:cols>
          <w:pgMar w:left="440" w:top="297" w:right="459" w:bottom="1440" w:gutter="0" w:footer="0" w:header="0"/>
        </w:sectPr>
      </w:pPr>
    </w:p>
    <w:bookmarkStart w:id="2" w:name="page3"/>
    <w:bookmarkEnd w:id="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Merger Agreement instead of establishing these matters as facts or made for other purposes,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On August 27, 2021, Centuri and Centuri Canada Division Inc. (collectively, the “Borrowers”) entered into a second amended and restated credit agreement (the “Credit Agreement”) with Wells Fargo Securities, LLC and BofA Securities, Inc., as joint lead arrangers, Wells Fargo Bank, National Association, as administrative agent, Bank of America, N.A., as syndication agent, and the other lenders and agents party thereto. The Credit Agreement provides for a $1.145 billion term loan “B” facility (the “Term Loan Facility”) and a $400 million revolving credit facility (the “Revolving Credit Facility”). Subject to certain conditions, the capacity under the Term Loan Facility and the Revolving Credit Facility may be increased at Centuri’s option by an aggregate amount of up to the greater of (1) $300 million and Consolidated EBITDA as of the most recently ended four fiscal quarter period plus (2) an amount which, after giving pro forma effect to such increase, would not cause Centuri’s net leverage ratio to exceed 4.00 to 1.00. The obligations under the Credit Agreement are secured by present and future ownership interests in substantially all direct and indirect subsidiaries of Centuri, substantially all of the tangible and intangible personal property of each Borrower and certain of their direct and indirect subsidiaries (collectively, the “Guarantors”), and all products, profits and proceeds of the foregoing, and are guaranteed by the Guarantors. The Term Loan Facility matures on August 27, 2028 and the Revolving Credit Facility matures on August 27, 2026.</w:t>
      </w:r>
    </w:p>
    <w:p>
      <w:pPr>
        <w:spacing w:after="0" w:line="182"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At Centuri’s option, interest rates for the Term Loan Facility and the Revolving Credit Facility are based on either a “base rate” or LIBOR, plus an applicable margin in either case. The Term Loan Facility is also subject to a LIBOR floor of 0.50%. Furthermore, Centuri Canada Division Inc. may borrow under the Revolving Credit Facility with interest rates based on either a “base rate” or CDOR plus the applicable margin, at the Borrower’s option. The margin for the Term Loan Facility will be 1.50% for base rate loans and 2.50% for LIBOR loans. The margin for the Revolving Credit Facility ranges from 0.0% to 1.25% for base rate loans and from 1.00% to 2.25% for LIBOR loans, depending on Centuri’s net leverage ratio.</w:t>
      </w:r>
    </w:p>
    <w:p>
      <w:pPr>
        <w:spacing w:after="0" w:line="16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Credit Agreement contains certain customary representations and warranties, affirmative and negative covenants and events of default. There are no financial covenants related to the Term Loan Facility. The Revolving Credit Facility requires Centuri to (i) maintain a maximum total net leverage ratio of 5.50 to 1.00 with a step-down to 4.75 to 1.0 on December 31, 2022 and a step-down to 4.00 to 1.00 on December 31, 2023; provided, however, Centuri may elect to increase the maximum total net leverage ratio up to 4.50 to 1.00 in connection with certain material acquisitions, which such increase shall be applicable for one year following the acquisition and (ii) maintain a minimum interest coverage ratio of 2.50 to 1.00.</w:t>
      </w:r>
    </w:p>
    <w:p>
      <w:pPr>
        <w:spacing w:after="0" w:line="161"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Subject to certain exceptions, amounts outstanding under the Credit Agreement are required to be prepaid with (i) 100% of the net cash proceeds of the issuance or incurrence of debt by Centuri or any of its subsidiaries, (ii) 100% of the net cash proceeds of all non-ordinary course asset sales, insurance and condemnation recoveries and other asset dispositions by Centuri or any of its subsidiaries and (iii) 50% of the excess cash flow for each fiscal year of Centuri commencing with the fiscal year ending December 31, 2022, subject to 100% credit for any voluntary prepayments of the loans under the Credit Agreement and with a step down to 25% if Centuri’s total net leverage ratio is less than 4.00 to 1.00 but greater than 3.50 to 1.00 and 0% if Centuri’s total net leverage ratio is less than or equal to 3.50 to 1.0. All mandatory prepayments will be allocated first to amounts outstanding under the Term Loan Facility and second to amounts outstanding under the Revolving Credit Facility.</w:t>
      </w:r>
    </w:p>
    <w:p>
      <w:pPr>
        <w:spacing w:after="0" w:line="17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On August 27, 2021, Centuri made borrowings of $1.145 billion under the Term Loan Facility and Centuri Canada Division Inc. made borrowings of C$145 million under the Revolving Credit Facility in order (i) to finance the consideration payable under the Merger Agreement and to pay related fees and expenses, (ii) to refinance</w:t>
      </w:r>
    </w:p>
    <w:p>
      <w:pPr>
        <w:sectPr>
          <w:pgSz w:w="11900" w:h="16838" w:orient="portrait"/>
          <w:cols w:equalWidth="0" w:num="1">
            <w:col w:w="11000"/>
          </w:cols>
          <w:pgMar w:left="440" w:top="301" w:right="459" w:bottom="1440" w:gutter="0" w:footer="0" w:header="0"/>
        </w:sectPr>
      </w:pPr>
    </w:p>
    <w:bookmarkStart w:id="3" w:name="page4"/>
    <w:bookmarkEnd w:id="3"/>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amounts outstanding under Centuri’s existing credit facility and certain indebtedness of Riggs Distler and its subsidiaries, and (iii) for other general corporate purposes. Any future borrowings under the Revolving Credit Facility will be used to refinance existing indebtedness and for working capital and other general corporate purposes.</w:t>
      </w:r>
    </w:p>
    <w:p>
      <w:pPr>
        <w:spacing w:after="0" w:line="184"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The foregoing description of the Credit Agreement is not complete and is qualified in its entirety by reference to the text of the Credit Agreement, which is filed as Exhibit 10.1 to this Current Report on Form 8-K.</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Financial Statements of Business Acquired</w:t>
      </w:r>
    </w:p>
    <w:p>
      <w:pPr>
        <w:spacing w:after="0" w:line="11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The required historical financial statements of Drum Parent will be filed by an amendment to this Current Report on Form 8-K within 71 calendar days of the due date hereof.</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(b) Pro Forma Financial Information</w:t>
      </w:r>
    </w:p>
    <w:p>
      <w:pPr>
        <w:spacing w:after="0" w:line="11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The required unaudited pro forma financial information of the Company will be filed by an amendment to this Current Report on Form 8-K within 71 calendar days of the due date 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40" w:type="dxa"/>
            <w:vAlign w:val="bottom"/>
            <w:gridSpan w:val="5"/>
            <w:vMerge w:val="restart"/>
          </w:tcPr>
          <w:p>
            <w:pPr>
              <w:ind w:left="3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844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2"/>
                <w:szCs w:val="22"/>
                <w:color w:val="auto"/>
              </w:rPr>
            </w:pPr>
          </w:p>
        </w:tc>
        <w:tc>
          <w:tcPr>
            <w:tcW w:w="10140" w:type="dxa"/>
            <w:vAlign w:val="bottom"/>
            <w:gridSpan w:val="6"/>
          </w:tcPr>
          <w:p>
            <w:pPr>
              <w:spacing w:after="0"/>
              <w:rPr>
                <w:rFonts w:ascii="Arial" w:cs="Arial" w:eastAsia="Arial" w:hAnsi="Arial"/>
                <w:sz w:val="18"/>
                <w:szCs w:val="18"/>
                <w:color w:val="0000EE"/>
                <w:w w:val="94"/>
              </w:rPr>
            </w:pPr>
            <w:hyperlink r:id="rId20">
              <w:r>
                <w:rPr>
                  <w:rFonts w:ascii="Arial" w:cs="Arial" w:eastAsia="Arial" w:hAnsi="Arial"/>
                  <w:sz w:val="18"/>
                  <w:szCs w:val="18"/>
                  <w:color w:val="0000EE"/>
                  <w:w w:val="94"/>
                </w:rPr>
                <w:t>Merger Agreement, dated as of June 28, 2021, by and among Centuri Group, Inc., Electric T&amp;D Holdings LLC, ETDH Merger Sub, Inc.,</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7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6"/>
          </w:tcPr>
          <w:p>
            <w:pPr>
              <w:spacing w:after="0" w:line="196" w:lineRule="exact"/>
              <w:rPr>
                <w:rFonts w:ascii="Arial" w:cs="Arial" w:eastAsia="Arial" w:hAnsi="Arial"/>
                <w:sz w:val="18"/>
                <w:szCs w:val="18"/>
                <w:color w:val="0000EE"/>
                <w:w w:val="93"/>
              </w:rPr>
            </w:pPr>
            <w:hyperlink r:id="rId20">
              <w:r>
                <w:rPr>
                  <w:rFonts w:ascii="Arial" w:cs="Arial" w:eastAsia="Arial" w:hAnsi="Arial"/>
                  <w:sz w:val="18"/>
                  <w:szCs w:val="18"/>
                  <w:color w:val="0000EE"/>
                  <w:w w:val="93"/>
                </w:rPr>
                <w:t>Drum Parent, Inc. and OCM Drum Investors, L.P (incorporated by reference to Exhibit 2.1 to the Company’s Current Report on Form 8-K</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filed on June 29, 2021).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140" w:type="dxa"/>
            <w:vAlign w:val="bottom"/>
            <w:gridSpan w:val="6"/>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Credit Agreement with Wells Fargo Securities, LLC and BofA Securities, Inc., as joint lead arrangers, Wells Fargo Bank, National</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Association, as administrative agent, Bank of America, N.A., as syndication agent, and the other lenders and agents party thereto.</w:t>
              </w:r>
            </w:hyperlink>
          </w:p>
        </w:tc>
        <w:tc>
          <w:tcPr>
            <w:tcW w:w="60" w:type="dxa"/>
            <w:vAlign w:val="bottom"/>
            <w:tcBorders>
              <w:top w:val="single" w:sz="8" w:color="0000EE"/>
            </w:tcBorders>
          </w:tcPr>
          <w:p>
            <w:pPr>
              <w:spacing w:after="0"/>
              <w:rPr>
                <w:sz w:val="17"/>
                <w:szCs w:val="17"/>
                <w:color w:val="auto"/>
              </w:rPr>
            </w:pPr>
          </w:p>
        </w:tc>
        <w:tc>
          <w:tcPr>
            <w:tcW w:w="7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Cover Page formatted in Inline XBRL.</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80" w:hanging="224"/>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omitted schedules and other similar attachments to such agreement pursuant to Item 601(b) of Regulation S-K. The Company will furnish a copy of such omitted document to the SEC upon request.</w:t>
      </w:r>
    </w:p>
    <w:p>
      <w:pPr>
        <w:sectPr>
          <w:pgSz w:w="11900" w:h="16838" w:orient="portrait"/>
          <w:cols w:equalWidth="0" w:num="1">
            <w:col w:w="11024"/>
          </w:cols>
          <w:pgMar w:left="436" w:top="301"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240" w:type="dxa"/>
            <w:vAlign w:val="bottom"/>
            <w:gridSpan w:val="2"/>
          </w:tcPr>
          <w:p>
            <w:pPr>
              <w:ind w:left="2160"/>
              <w:spacing w:after="0"/>
              <w:rPr>
                <w:sz w:val="20"/>
                <w:szCs w:val="20"/>
                <w:color w:val="auto"/>
              </w:rPr>
            </w:pPr>
            <w:r>
              <w:rPr>
                <w:rFonts w:ascii="Arial" w:cs="Arial" w:eastAsia="Arial" w:hAnsi="Arial"/>
                <w:sz w:val="18"/>
                <w:szCs w:val="18"/>
                <w:color w:val="auto"/>
              </w:rPr>
              <w:t>SOUTHWEST GAS HOLDINGS, INC.</w:t>
            </w:r>
          </w:p>
        </w:tc>
      </w:tr>
      <w:tr>
        <w:trPr>
          <w:trHeight w:val="432"/>
        </w:trPr>
        <w:tc>
          <w:tcPr>
            <w:tcW w:w="3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Gregory J. Peterson</w:t>
            </w: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Date: August 30, 2021</w:t>
            </w:r>
          </w:p>
        </w:tc>
        <w:tc>
          <w:tcPr>
            <w:tcW w:w="21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89"/>
              </w:rPr>
              <w:t>Gregory J. Peterson</w:t>
            </w:r>
          </w:p>
        </w:tc>
      </w:tr>
      <w:tr>
        <w:trPr>
          <w:trHeight w:val="230"/>
        </w:trPr>
        <w:tc>
          <w:tcPr>
            <w:tcW w:w="37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Senior Vice President/Chief Financial Officer</w:t>
            </w:r>
          </w:p>
        </w:tc>
      </w:tr>
    </w:tbl>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XECUTION</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ERSION</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15643XAA6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CUSIP Number: 15643XAB4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Initial Term Loan CUSIP Number: 15643XAC2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237490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August 27,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CENTURI GROUP,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each Additional Borrower,</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US Borrowers,</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CENTURI CANADA DIVISION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each Additional Borrower,</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Canadian Borrowers,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referred to herein,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Lenders,</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Swingline Lender and Issuing Lender,</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Arrangers and Joint Bookrunners</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CANADIAN IMPERIAL BANK OF COMMERCE,</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PNC BANK, NATIONAL ASSOCIATION,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TRUIST BANK,</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BANK OF MONTREAL,</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7240" w:type="dxa"/>
            <w:vAlign w:val="bottom"/>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2120" w:type="dxa"/>
            <w:vAlign w:val="bottom"/>
          </w:tcPr>
          <w:p>
            <w:pPr>
              <w:spacing w:after="0"/>
              <w:rPr>
                <w:sz w:val="20"/>
                <w:szCs w:val="20"/>
                <w:color w:val="auto"/>
              </w:rPr>
            </w:pPr>
          </w:p>
        </w:tc>
      </w:tr>
      <w:tr>
        <w:trPr>
          <w:trHeight w:val="377"/>
        </w:trPr>
        <w:tc>
          <w:tcPr>
            <w:tcW w:w="16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2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240" w:type="dxa"/>
            <w:vAlign w:val="bottom"/>
          </w:tcPr>
          <w:p>
            <w:pPr>
              <w:ind w:left="140"/>
              <w:spacing w:after="0"/>
              <w:rPr>
                <w:sz w:val="20"/>
                <w:szCs w:val="20"/>
                <w:color w:val="auto"/>
              </w:rPr>
            </w:pPr>
            <w:r>
              <w:rPr>
                <w:rFonts w:ascii="Arial" w:cs="Arial" w:eastAsia="Arial" w:hAnsi="Arial"/>
                <w:sz w:val="18"/>
                <w:szCs w:val="18"/>
                <w:color w:val="auto"/>
              </w:rPr>
              <w:t>Other Definitions and Provisions</w:t>
            </w:r>
          </w:p>
        </w:tc>
        <w:tc>
          <w:tcPr>
            <w:tcW w:w="2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240" w:type="dxa"/>
            <w:vAlign w:val="bottom"/>
          </w:tcPr>
          <w:p>
            <w:pPr>
              <w:ind w:left="140"/>
              <w:spacing w:after="0"/>
              <w:rPr>
                <w:sz w:val="20"/>
                <w:szCs w:val="20"/>
                <w:color w:val="auto"/>
              </w:rPr>
            </w:pPr>
            <w:r>
              <w:rPr>
                <w:rFonts w:ascii="Arial" w:cs="Arial" w:eastAsia="Arial" w:hAnsi="Arial"/>
                <w:sz w:val="18"/>
                <w:szCs w:val="18"/>
                <w:color w:val="auto"/>
              </w:rPr>
              <w:t>Accounting Terms</w:t>
            </w:r>
          </w:p>
        </w:tc>
        <w:tc>
          <w:tcPr>
            <w:tcW w:w="2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240" w:type="dxa"/>
            <w:vAlign w:val="bottom"/>
          </w:tcPr>
          <w:p>
            <w:pPr>
              <w:ind w:left="140"/>
              <w:spacing w:after="0"/>
              <w:rPr>
                <w:sz w:val="20"/>
                <w:szCs w:val="20"/>
                <w:color w:val="auto"/>
              </w:rPr>
            </w:pPr>
            <w:r>
              <w:rPr>
                <w:rFonts w:ascii="Arial" w:cs="Arial" w:eastAsia="Arial" w:hAnsi="Arial"/>
                <w:sz w:val="18"/>
                <w:szCs w:val="18"/>
                <w:color w:val="auto"/>
              </w:rPr>
              <w:t>UCC and PPSA Terms</w:t>
            </w:r>
          </w:p>
        </w:tc>
        <w:tc>
          <w:tcPr>
            <w:tcW w:w="2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240" w:type="dxa"/>
            <w:vAlign w:val="bottom"/>
          </w:tcPr>
          <w:p>
            <w:pPr>
              <w:ind w:left="140"/>
              <w:spacing w:after="0"/>
              <w:rPr>
                <w:sz w:val="20"/>
                <w:szCs w:val="20"/>
                <w:color w:val="auto"/>
              </w:rPr>
            </w:pPr>
            <w:r>
              <w:rPr>
                <w:rFonts w:ascii="Arial" w:cs="Arial" w:eastAsia="Arial" w:hAnsi="Arial"/>
                <w:sz w:val="18"/>
                <w:szCs w:val="18"/>
                <w:color w:val="auto"/>
              </w:rPr>
              <w:t>Rounding</w:t>
            </w:r>
          </w:p>
        </w:tc>
        <w:tc>
          <w:tcPr>
            <w:tcW w:w="2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240" w:type="dxa"/>
            <w:vAlign w:val="bottom"/>
          </w:tcPr>
          <w:p>
            <w:pPr>
              <w:ind w:left="140"/>
              <w:spacing w:after="0"/>
              <w:rPr>
                <w:sz w:val="20"/>
                <w:szCs w:val="20"/>
                <w:color w:val="auto"/>
              </w:rPr>
            </w:pPr>
            <w:r>
              <w:rPr>
                <w:rFonts w:ascii="Arial" w:cs="Arial" w:eastAsia="Arial" w:hAnsi="Arial"/>
                <w:sz w:val="18"/>
                <w:szCs w:val="18"/>
                <w:color w:val="auto"/>
              </w:rPr>
              <w:t>References to Agreement and Laws</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240" w:type="dxa"/>
            <w:vAlign w:val="bottom"/>
          </w:tcPr>
          <w:p>
            <w:pPr>
              <w:ind w:left="140"/>
              <w:spacing w:after="0"/>
              <w:rPr>
                <w:sz w:val="20"/>
                <w:szCs w:val="20"/>
                <w:color w:val="auto"/>
              </w:rPr>
            </w:pPr>
            <w:r>
              <w:rPr>
                <w:rFonts w:ascii="Arial" w:cs="Arial" w:eastAsia="Arial" w:hAnsi="Arial"/>
                <w:sz w:val="18"/>
                <w:szCs w:val="18"/>
                <w:color w:val="auto"/>
              </w:rPr>
              <w:t>Times of Day</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240" w:type="dxa"/>
            <w:vAlign w:val="bottom"/>
          </w:tcPr>
          <w:p>
            <w:pPr>
              <w:ind w:left="140"/>
              <w:spacing w:after="0"/>
              <w:rPr>
                <w:sz w:val="20"/>
                <w:szCs w:val="20"/>
                <w:color w:val="auto"/>
              </w:rPr>
            </w:pPr>
            <w:r>
              <w:rPr>
                <w:rFonts w:ascii="Arial" w:cs="Arial" w:eastAsia="Arial" w:hAnsi="Arial"/>
                <w:sz w:val="18"/>
                <w:szCs w:val="18"/>
                <w:color w:val="auto"/>
              </w:rPr>
              <w:t>Letter of Credit Amounts</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7240" w:type="dxa"/>
            <w:vAlign w:val="bottom"/>
          </w:tcPr>
          <w:p>
            <w:pPr>
              <w:ind w:left="140"/>
              <w:spacing w:after="0"/>
              <w:rPr>
                <w:sz w:val="20"/>
                <w:szCs w:val="20"/>
                <w:color w:val="auto"/>
              </w:rPr>
            </w:pPr>
            <w:r>
              <w:rPr>
                <w:rFonts w:ascii="Arial" w:cs="Arial" w:eastAsia="Arial" w:hAnsi="Arial"/>
                <w:sz w:val="18"/>
                <w:szCs w:val="18"/>
                <w:color w:val="auto"/>
              </w:rPr>
              <w:t>Guarantees/Earn-Outs</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7240" w:type="dxa"/>
            <w:vAlign w:val="bottom"/>
          </w:tcPr>
          <w:p>
            <w:pPr>
              <w:ind w:left="140"/>
              <w:spacing w:after="0"/>
              <w:rPr>
                <w:sz w:val="20"/>
                <w:szCs w:val="20"/>
                <w:color w:val="auto"/>
              </w:rPr>
            </w:pPr>
            <w:r>
              <w:rPr>
                <w:rFonts w:ascii="Arial" w:cs="Arial" w:eastAsia="Arial" w:hAnsi="Arial"/>
                <w:sz w:val="18"/>
                <w:szCs w:val="18"/>
                <w:color w:val="auto"/>
              </w:rPr>
              <w:t>Alternative Currency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7240" w:type="dxa"/>
            <w:vAlign w:val="bottom"/>
          </w:tcPr>
          <w:p>
            <w:pPr>
              <w:ind w:left="140"/>
              <w:spacing w:after="0"/>
              <w:rPr>
                <w:sz w:val="20"/>
                <w:szCs w:val="20"/>
                <w:color w:val="auto"/>
              </w:rPr>
            </w:pPr>
            <w:r>
              <w:rPr>
                <w:rFonts w:ascii="Arial" w:cs="Arial" w:eastAsia="Arial" w:hAnsi="Arial"/>
                <w:sz w:val="18"/>
                <w:szCs w:val="18"/>
                <w:color w:val="auto"/>
              </w:rPr>
              <w:t>Rates</w:t>
            </w:r>
          </w:p>
        </w:tc>
        <w:tc>
          <w:tcPr>
            <w:tcW w:w="2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7240" w:type="dxa"/>
            <w:vAlign w:val="bottom"/>
          </w:tcPr>
          <w:p>
            <w:pPr>
              <w:ind w:left="140"/>
              <w:spacing w:after="0"/>
              <w:rPr>
                <w:sz w:val="20"/>
                <w:szCs w:val="20"/>
                <w:color w:val="auto"/>
              </w:rPr>
            </w:pPr>
            <w:r>
              <w:rPr>
                <w:rFonts w:ascii="Arial" w:cs="Arial" w:eastAsia="Arial" w:hAnsi="Arial"/>
                <w:sz w:val="18"/>
                <w:szCs w:val="18"/>
                <w:color w:val="auto"/>
              </w:rPr>
              <w:t>Limited Condition Acquisitions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7240" w:type="dxa"/>
            <w:vAlign w:val="bottom"/>
          </w:tcPr>
          <w:p>
            <w:pPr>
              <w:ind w:left="140"/>
              <w:spacing w:after="0"/>
              <w:rPr>
                <w:sz w:val="20"/>
                <w:szCs w:val="20"/>
                <w:color w:val="auto"/>
              </w:rPr>
            </w:pPr>
            <w:r>
              <w:rPr>
                <w:rFonts w:ascii="Arial" w:cs="Arial" w:eastAsia="Arial" w:hAnsi="Arial"/>
                <w:sz w:val="18"/>
                <w:szCs w:val="18"/>
                <w:color w:val="auto"/>
              </w:rPr>
              <w:t>Divisions</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 REVOLVING CREDIT FACILITY</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240" w:type="dxa"/>
            <w:vAlign w:val="bottom"/>
          </w:tcPr>
          <w:p>
            <w:pPr>
              <w:ind w:left="140"/>
              <w:spacing w:after="0"/>
              <w:rPr>
                <w:sz w:val="20"/>
                <w:szCs w:val="20"/>
                <w:color w:val="auto"/>
              </w:rPr>
            </w:pPr>
            <w:r>
              <w:rPr>
                <w:rFonts w:ascii="Arial" w:cs="Arial" w:eastAsia="Arial" w:hAnsi="Arial"/>
                <w:sz w:val="18"/>
                <w:szCs w:val="18"/>
                <w:color w:val="auto"/>
              </w:rPr>
              <w:t>Revolving Credit Loans</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240" w:type="dxa"/>
            <w:vAlign w:val="bottom"/>
          </w:tcPr>
          <w:p>
            <w:pPr>
              <w:ind w:left="140"/>
              <w:spacing w:after="0"/>
              <w:rPr>
                <w:sz w:val="20"/>
                <w:szCs w:val="20"/>
                <w:color w:val="auto"/>
              </w:rPr>
            </w:pPr>
            <w:r>
              <w:rPr>
                <w:rFonts w:ascii="Arial" w:cs="Arial" w:eastAsia="Arial" w:hAnsi="Arial"/>
                <w:sz w:val="18"/>
                <w:szCs w:val="18"/>
                <w:color w:val="auto"/>
              </w:rPr>
              <w:t>Swingline Loans</w:t>
            </w:r>
          </w:p>
        </w:tc>
        <w:tc>
          <w:tcPr>
            <w:tcW w:w="2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240" w:type="dxa"/>
            <w:vAlign w:val="bottom"/>
          </w:tcPr>
          <w:p>
            <w:pPr>
              <w:ind w:left="140"/>
              <w:spacing w:after="0"/>
              <w:rPr>
                <w:sz w:val="20"/>
                <w:szCs w:val="20"/>
                <w:color w:val="auto"/>
              </w:rPr>
            </w:pPr>
            <w:r>
              <w:rPr>
                <w:rFonts w:ascii="Arial" w:cs="Arial" w:eastAsia="Arial" w:hAnsi="Arial"/>
                <w:sz w:val="18"/>
                <w:szCs w:val="18"/>
                <w:color w:val="auto"/>
              </w:rPr>
              <w:t>Procedure for Advances of Revolving Credit Loans and Swingline Loans</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240" w:type="dxa"/>
            <w:vAlign w:val="bottom"/>
          </w:tcPr>
          <w:p>
            <w:pPr>
              <w:ind w:left="140"/>
              <w:spacing w:after="0"/>
              <w:rPr>
                <w:sz w:val="20"/>
                <w:szCs w:val="20"/>
                <w:color w:val="auto"/>
              </w:rPr>
            </w:pPr>
            <w:r>
              <w:rPr>
                <w:rFonts w:ascii="Arial" w:cs="Arial" w:eastAsia="Arial" w:hAnsi="Arial"/>
                <w:sz w:val="18"/>
                <w:szCs w:val="18"/>
                <w:color w:val="auto"/>
              </w:rPr>
              <w:t>Repayment and Prepayment of Revolving Credit and Swingline Loans</w:t>
            </w:r>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7240" w:type="dxa"/>
            <w:vAlign w:val="bottom"/>
          </w:tcPr>
          <w:p>
            <w:pPr>
              <w:ind w:left="140"/>
              <w:spacing w:after="0"/>
              <w:rPr>
                <w:sz w:val="20"/>
                <w:szCs w:val="20"/>
                <w:color w:val="auto"/>
              </w:rPr>
            </w:pPr>
            <w:r>
              <w:rPr>
                <w:rFonts w:ascii="Arial" w:cs="Arial" w:eastAsia="Arial" w:hAnsi="Arial"/>
                <w:sz w:val="18"/>
                <w:szCs w:val="18"/>
                <w:color w:val="auto"/>
              </w:rPr>
              <w:t>Permanent Reduction of the Revolving Credit Commitment</w:t>
            </w: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7240" w:type="dxa"/>
            <w:vAlign w:val="bottom"/>
          </w:tcPr>
          <w:p>
            <w:pPr>
              <w:ind w:left="140"/>
              <w:spacing w:after="0"/>
              <w:rPr>
                <w:sz w:val="20"/>
                <w:szCs w:val="20"/>
                <w:color w:val="auto"/>
              </w:rPr>
            </w:pPr>
            <w:r>
              <w:rPr>
                <w:rFonts w:ascii="Arial" w:cs="Arial" w:eastAsia="Arial" w:hAnsi="Arial"/>
                <w:sz w:val="18"/>
                <w:szCs w:val="18"/>
                <w:color w:val="auto"/>
              </w:rPr>
              <w:t>Termination of Revolving Credit Facility</w:t>
            </w: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III LETTER OF CREDIT FACILITY</w:t>
            </w:r>
          </w:p>
        </w:tc>
        <w:tc>
          <w:tcPr>
            <w:tcW w:w="2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240" w:type="dxa"/>
            <w:vAlign w:val="bottom"/>
          </w:tcPr>
          <w:p>
            <w:pPr>
              <w:ind w:left="140"/>
              <w:spacing w:after="0"/>
              <w:rPr>
                <w:sz w:val="20"/>
                <w:szCs w:val="20"/>
                <w:color w:val="auto"/>
              </w:rPr>
            </w:pPr>
            <w:r>
              <w:rPr>
                <w:rFonts w:ascii="Arial" w:cs="Arial" w:eastAsia="Arial" w:hAnsi="Arial"/>
                <w:sz w:val="18"/>
                <w:szCs w:val="18"/>
                <w:color w:val="auto"/>
              </w:rPr>
              <w:t>L/C Facility</w:t>
            </w:r>
          </w:p>
        </w:tc>
        <w:tc>
          <w:tcPr>
            <w:tcW w:w="2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240" w:type="dxa"/>
            <w:vAlign w:val="bottom"/>
          </w:tcPr>
          <w:p>
            <w:pPr>
              <w:ind w:left="140"/>
              <w:spacing w:after="0"/>
              <w:rPr>
                <w:sz w:val="20"/>
                <w:szCs w:val="20"/>
                <w:color w:val="auto"/>
              </w:rPr>
            </w:pPr>
            <w:r>
              <w:rPr>
                <w:rFonts w:ascii="Arial" w:cs="Arial" w:eastAsia="Arial" w:hAnsi="Arial"/>
                <w:sz w:val="18"/>
                <w:szCs w:val="18"/>
                <w:color w:val="auto"/>
              </w:rPr>
              <w:t>Procedure for Issuance of Letters of Credit</w:t>
            </w:r>
          </w:p>
        </w:tc>
        <w:tc>
          <w:tcPr>
            <w:tcW w:w="2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240" w:type="dxa"/>
            <w:vAlign w:val="bottom"/>
          </w:tcPr>
          <w:p>
            <w:pPr>
              <w:ind w:left="140"/>
              <w:spacing w:after="0"/>
              <w:rPr>
                <w:sz w:val="20"/>
                <w:szCs w:val="20"/>
                <w:color w:val="auto"/>
              </w:rPr>
            </w:pPr>
            <w:r>
              <w:rPr>
                <w:rFonts w:ascii="Arial" w:cs="Arial" w:eastAsia="Arial" w:hAnsi="Arial"/>
                <w:sz w:val="18"/>
                <w:szCs w:val="18"/>
                <w:color w:val="auto"/>
              </w:rPr>
              <w:t>Commissions and Other Charges</w:t>
            </w:r>
          </w:p>
        </w:tc>
        <w:tc>
          <w:tcPr>
            <w:tcW w:w="2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7240" w:type="dxa"/>
            <w:vAlign w:val="bottom"/>
          </w:tcPr>
          <w:p>
            <w:pPr>
              <w:ind w:left="140"/>
              <w:spacing w:after="0"/>
              <w:rPr>
                <w:sz w:val="20"/>
                <w:szCs w:val="20"/>
                <w:color w:val="auto"/>
              </w:rPr>
            </w:pPr>
            <w:r>
              <w:rPr>
                <w:rFonts w:ascii="Arial" w:cs="Arial" w:eastAsia="Arial" w:hAnsi="Arial"/>
                <w:sz w:val="18"/>
                <w:szCs w:val="18"/>
                <w:color w:val="auto"/>
              </w:rPr>
              <w:t>L/C Participations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7240" w:type="dxa"/>
            <w:vAlign w:val="bottom"/>
          </w:tcPr>
          <w:p>
            <w:pPr>
              <w:ind w:left="140"/>
              <w:spacing w:after="0"/>
              <w:rPr>
                <w:sz w:val="20"/>
                <w:szCs w:val="20"/>
                <w:color w:val="auto"/>
              </w:rPr>
            </w:pPr>
            <w:r>
              <w:rPr>
                <w:rFonts w:ascii="Arial" w:cs="Arial" w:eastAsia="Arial" w:hAnsi="Arial"/>
                <w:sz w:val="18"/>
                <w:szCs w:val="18"/>
                <w:color w:val="auto"/>
              </w:rPr>
              <w:t>Reimbursement Obligation of the Borrowers</w:t>
            </w:r>
          </w:p>
        </w:tc>
        <w:tc>
          <w:tcPr>
            <w:tcW w:w="2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7240" w:type="dxa"/>
            <w:vAlign w:val="bottom"/>
          </w:tcPr>
          <w:p>
            <w:pPr>
              <w:ind w:left="140"/>
              <w:spacing w:after="0"/>
              <w:rPr>
                <w:sz w:val="20"/>
                <w:szCs w:val="20"/>
                <w:color w:val="auto"/>
              </w:rPr>
            </w:pPr>
            <w:r>
              <w:rPr>
                <w:rFonts w:ascii="Arial" w:cs="Arial" w:eastAsia="Arial" w:hAnsi="Arial"/>
                <w:sz w:val="18"/>
                <w:szCs w:val="18"/>
                <w:color w:val="auto"/>
              </w:rPr>
              <w:t>Obligations Absolute</w:t>
            </w: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7240" w:type="dxa"/>
            <w:vAlign w:val="bottom"/>
          </w:tcPr>
          <w:p>
            <w:pPr>
              <w:ind w:left="140"/>
              <w:spacing w:after="0"/>
              <w:rPr>
                <w:sz w:val="20"/>
                <w:szCs w:val="20"/>
                <w:color w:val="auto"/>
              </w:rPr>
            </w:pPr>
            <w:r>
              <w:rPr>
                <w:rFonts w:ascii="Arial" w:cs="Arial" w:eastAsia="Arial" w:hAnsi="Arial"/>
                <w:sz w:val="18"/>
                <w:szCs w:val="18"/>
                <w:color w:val="auto"/>
              </w:rPr>
              <w:t>Effect of Letter of Credit Application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7240" w:type="dxa"/>
            <w:vAlign w:val="bottom"/>
          </w:tcPr>
          <w:p>
            <w:pPr>
              <w:ind w:left="140"/>
              <w:spacing w:after="0"/>
              <w:rPr>
                <w:sz w:val="20"/>
                <w:szCs w:val="20"/>
                <w:color w:val="auto"/>
              </w:rPr>
            </w:pPr>
            <w:r>
              <w:rPr>
                <w:rFonts w:ascii="Arial" w:cs="Arial" w:eastAsia="Arial" w:hAnsi="Arial"/>
                <w:sz w:val="18"/>
                <w:szCs w:val="18"/>
                <w:color w:val="auto"/>
              </w:rPr>
              <w:t>Removal and Resignation of Issuing Lenders</w:t>
            </w:r>
          </w:p>
        </w:tc>
        <w:tc>
          <w:tcPr>
            <w:tcW w:w="2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7240" w:type="dxa"/>
            <w:vAlign w:val="bottom"/>
          </w:tcPr>
          <w:p>
            <w:pPr>
              <w:ind w:left="140"/>
              <w:spacing w:after="0"/>
              <w:rPr>
                <w:sz w:val="20"/>
                <w:szCs w:val="20"/>
                <w:color w:val="auto"/>
              </w:rPr>
            </w:pPr>
            <w:r>
              <w:rPr>
                <w:rFonts w:ascii="Arial" w:cs="Arial" w:eastAsia="Arial" w:hAnsi="Arial"/>
                <w:sz w:val="18"/>
                <w:szCs w:val="18"/>
                <w:color w:val="auto"/>
              </w:rPr>
              <w:t>Reporting of Letter of Credit Information and L/C Commitment</w:t>
            </w:r>
          </w:p>
        </w:tc>
        <w:tc>
          <w:tcPr>
            <w:tcW w:w="2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7240" w:type="dxa"/>
            <w:vAlign w:val="bottom"/>
          </w:tcPr>
          <w:p>
            <w:pPr>
              <w:ind w:left="140"/>
              <w:spacing w:after="0"/>
              <w:rPr>
                <w:sz w:val="20"/>
                <w:szCs w:val="20"/>
                <w:color w:val="auto"/>
              </w:rPr>
            </w:pPr>
            <w:r>
              <w:rPr>
                <w:rFonts w:ascii="Arial" w:cs="Arial" w:eastAsia="Arial" w:hAnsi="Arial"/>
                <w:sz w:val="18"/>
                <w:szCs w:val="18"/>
                <w:color w:val="auto"/>
              </w:rPr>
              <w:t>Letters of Credit Issued for 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64"/>
        </w:trPr>
        <w:tc>
          <w:tcPr>
            <w:tcW w:w="1600" w:type="dxa"/>
            <w:vAlign w:val="bottom"/>
          </w:tcPr>
          <w:p>
            <w:pPr>
              <w:spacing w:after="0"/>
              <w:rPr>
                <w:sz w:val="24"/>
                <w:szCs w:val="24"/>
                <w:color w:val="auto"/>
              </w:rPr>
            </w:pPr>
          </w:p>
        </w:tc>
        <w:tc>
          <w:tcPr>
            <w:tcW w:w="7240" w:type="dxa"/>
            <w:vAlign w:val="bottom"/>
          </w:tcPr>
          <w:p>
            <w:pPr>
              <w:ind w:left="3880"/>
              <w:spacing w:after="0"/>
              <w:rPr>
                <w:sz w:val="20"/>
                <w:szCs w:val="20"/>
                <w:color w:val="auto"/>
              </w:rPr>
            </w:pPr>
            <w:r>
              <w:rPr>
                <w:rFonts w:ascii="Arial" w:cs="Arial" w:eastAsia="Arial" w:hAnsi="Arial"/>
                <w:sz w:val="18"/>
                <w:szCs w:val="18"/>
                <w:color w:val="auto"/>
              </w:rPr>
              <w:t>i</w:t>
            </w:r>
          </w:p>
        </w:tc>
        <w:tc>
          <w:tcPr>
            <w:tcW w:w="2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TERM LOAN FACILITY</w:t>
            </w:r>
          </w:p>
        </w:tc>
        <w:tc>
          <w:tcPr>
            <w:tcW w:w="2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6960" w:type="dxa"/>
            <w:vAlign w:val="bottom"/>
          </w:tcPr>
          <w:p>
            <w:pPr>
              <w:ind w:left="140"/>
              <w:spacing w:after="0"/>
              <w:rPr>
                <w:sz w:val="20"/>
                <w:szCs w:val="20"/>
                <w:color w:val="auto"/>
              </w:rPr>
            </w:pPr>
            <w:r>
              <w:rPr>
                <w:rFonts w:ascii="Arial" w:cs="Arial" w:eastAsia="Arial" w:hAnsi="Arial"/>
                <w:sz w:val="18"/>
                <w:szCs w:val="18"/>
                <w:color w:val="auto"/>
              </w:rPr>
              <w:t>Initial Term Loan</w:t>
            </w:r>
          </w:p>
        </w:tc>
        <w:tc>
          <w:tcPr>
            <w:tcW w:w="2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6960" w:type="dxa"/>
            <w:vAlign w:val="bottom"/>
          </w:tcPr>
          <w:p>
            <w:pPr>
              <w:ind w:left="140"/>
              <w:spacing w:after="0"/>
              <w:rPr>
                <w:sz w:val="20"/>
                <w:szCs w:val="20"/>
                <w:color w:val="auto"/>
              </w:rPr>
            </w:pPr>
            <w:r>
              <w:rPr>
                <w:rFonts w:ascii="Arial" w:cs="Arial" w:eastAsia="Arial" w:hAnsi="Arial"/>
                <w:sz w:val="18"/>
                <w:szCs w:val="18"/>
                <w:color w:val="auto"/>
              </w:rPr>
              <w:t>Procedure for Advance of Initial Term Loan</w:t>
            </w:r>
          </w:p>
        </w:tc>
        <w:tc>
          <w:tcPr>
            <w:tcW w:w="2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6960" w:type="dxa"/>
            <w:vAlign w:val="bottom"/>
          </w:tcPr>
          <w:p>
            <w:pPr>
              <w:ind w:left="140"/>
              <w:spacing w:after="0"/>
              <w:rPr>
                <w:sz w:val="20"/>
                <w:szCs w:val="20"/>
                <w:color w:val="auto"/>
              </w:rPr>
            </w:pPr>
            <w:r>
              <w:rPr>
                <w:rFonts w:ascii="Arial" w:cs="Arial" w:eastAsia="Arial" w:hAnsi="Arial"/>
                <w:sz w:val="18"/>
                <w:szCs w:val="18"/>
                <w:color w:val="auto"/>
              </w:rPr>
              <w:t>Repayment of Term Loans</w:t>
            </w:r>
          </w:p>
        </w:tc>
        <w:tc>
          <w:tcPr>
            <w:tcW w:w="2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6960" w:type="dxa"/>
            <w:vAlign w:val="bottom"/>
          </w:tcPr>
          <w:p>
            <w:pPr>
              <w:ind w:left="140"/>
              <w:spacing w:after="0"/>
              <w:rPr>
                <w:sz w:val="20"/>
                <w:szCs w:val="20"/>
                <w:color w:val="auto"/>
              </w:rPr>
            </w:pPr>
            <w:r>
              <w:rPr>
                <w:rFonts w:ascii="Arial" w:cs="Arial" w:eastAsia="Arial" w:hAnsi="Arial"/>
                <w:sz w:val="18"/>
                <w:szCs w:val="18"/>
                <w:color w:val="auto"/>
              </w:rPr>
              <w:t>Prepayments of Term Loans</w:t>
            </w:r>
          </w:p>
        </w:tc>
        <w:tc>
          <w:tcPr>
            <w:tcW w:w="2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V GENERAL LOAN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69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6960" w:type="dxa"/>
            <w:vAlign w:val="bottom"/>
          </w:tcPr>
          <w:p>
            <w:pPr>
              <w:ind w:left="140"/>
              <w:spacing w:after="0"/>
              <w:rPr>
                <w:sz w:val="20"/>
                <w:szCs w:val="20"/>
                <w:color w:val="auto"/>
              </w:rPr>
            </w:pPr>
            <w:r>
              <w:rPr>
                <w:rFonts w:ascii="Arial" w:cs="Arial" w:eastAsia="Arial" w:hAnsi="Arial"/>
                <w:sz w:val="18"/>
                <w:szCs w:val="18"/>
                <w:color w:val="auto"/>
              </w:rPr>
              <w:t>Notice and Manner of Conversion or Continuation of Loans</w:t>
            </w:r>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6960" w:type="dxa"/>
            <w:vAlign w:val="bottom"/>
          </w:tcPr>
          <w:p>
            <w:pPr>
              <w:ind w:left="140"/>
              <w:spacing w:after="0"/>
              <w:rPr>
                <w:sz w:val="20"/>
                <w:szCs w:val="20"/>
                <w:color w:val="auto"/>
              </w:rPr>
            </w:pPr>
            <w:r>
              <w:rPr>
                <w:rFonts w:ascii="Arial" w:cs="Arial" w:eastAsia="Arial" w:hAnsi="Arial"/>
                <w:sz w:val="18"/>
                <w:szCs w:val="18"/>
                <w:color w:val="auto"/>
              </w:rPr>
              <w:t>Fees</w:t>
            </w:r>
          </w:p>
        </w:tc>
        <w:tc>
          <w:tcPr>
            <w:tcW w:w="2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6960" w:type="dxa"/>
            <w:vAlign w:val="bottom"/>
          </w:tcPr>
          <w:p>
            <w:pPr>
              <w:ind w:left="140"/>
              <w:spacing w:after="0"/>
              <w:rPr>
                <w:sz w:val="20"/>
                <w:szCs w:val="20"/>
                <w:color w:val="auto"/>
              </w:rPr>
            </w:pPr>
            <w:r>
              <w:rPr>
                <w:rFonts w:ascii="Arial" w:cs="Arial" w:eastAsia="Arial" w:hAnsi="Arial"/>
                <w:sz w:val="18"/>
                <w:szCs w:val="18"/>
                <w:color w:val="auto"/>
              </w:rPr>
              <w:t>Manner of Payment</w:t>
            </w:r>
          </w:p>
        </w:tc>
        <w:tc>
          <w:tcPr>
            <w:tcW w:w="2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6960" w:type="dxa"/>
            <w:vAlign w:val="bottom"/>
          </w:tcPr>
          <w:p>
            <w:pPr>
              <w:ind w:left="140"/>
              <w:spacing w:after="0"/>
              <w:rPr>
                <w:sz w:val="20"/>
                <w:szCs w:val="20"/>
                <w:color w:val="auto"/>
              </w:rPr>
            </w:pPr>
            <w:r>
              <w:rPr>
                <w:rFonts w:ascii="Arial" w:cs="Arial" w:eastAsia="Arial" w:hAnsi="Arial"/>
                <w:sz w:val="18"/>
                <w:szCs w:val="18"/>
                <w:color w:val="auto"/>
              </w:rPr>
              <w:t>Evidence of Indebtedness</w:t>
            </w:r>
          </w:p>
        </w:tc>
        <w:tc>
          <w:tcPr>
            <w:tcW w:w="2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6960" w:type="dxa"/>
            <w:vAlign w:val="bottom"/>
          </w:tcPr>
          <w:p>
            <w:pPr>
              <w:ind w:left="140"/>
              <w:spacing w:after="0"/>
              <w:rPr>
                <w:sz w:val="20"/>
                <w:szCs w:val="20"/>
                <w:color w:val="auto"/>
              </w:rPr>
            </w:pPr>
            <w:r>
              <w:rPr>
                <w:rFonts w:ascii="Arial" w:cs="Arial" w:eastAsia="Arial" w:hAnsi="Arial"/>
                <w:sz w:val="18"/>
                <w:szCs w:val="18"/>
                <w:color w:val="auto"/>
              </w:rPr>
              <w:t>Sharing of Payments by Lenders</w:t>
            </w:r>
          </w:p>
        </w:tc>
        <w:tc>
          <w:tcPr>
            <w:tcW w:w="2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6960" w:type="dxa"/>
            <w:vAlign w:val="bottom"/>
          </w:tcPr>
          <w:p>
            <w:pPr>
              <w:ind w:left="140"/>
              <w:spacing w:after="0"/>
              <w:rPr>
                <w:sz w:val="20"/>
                <w:szCs w:val="20"/>
                <w:color w:val="auto"/>
              </w:rPr>
            </w:pPr>
            <w:r>
              <w:rPr>
                <w:rFonts w:ascii="Arial" w:cs="Arial" w:eastAsia="Arial" w:hAnsi="Arial"/>
                <w:sz w:val="18"/>
                <w:szCs w:val="18"/>
                <w:color w:val="auto"/>
              </w:rPr>
              <w:t>Administrative Agent’s Clawback</w:t>
            </w:r>
          </w:p>
        </w:tc>
        <w:tc>
          <w:tcPr>
            <w:tcW w:w="24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6960" w:type="dxa"/>
            <w:vAlign w:val="bottom"/>
          </w:tcPr>
          <w:p>
            <w:pPr>
              <w:ind w:left="140"/>
              <w:spacing w:after="0"/>
              <w:rPr>
                <w:sz w:val="20"/>
                <w:szCs w:val="20"/>
                <w:color w:val="auto"/>
              </w:rPr>
            </w:pPr>
            <w:r>
              <w:rPr>
                <w:rFonts w:ascii="Arial" w:cs="Arial" w:eastAsia="Arial" w:hAnsi="Arial"/>
                <w:sz w:val="18"/>
                <w:szCs w:val="18"/>
                <w:color w:val="auto"/>
              </w:rPr>
              <w:t>Changed Circumstances</w:t>
            </w: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6960" w:type="dxa"/>
            <w:vAlign w:val="bottom"/>
          </w:tcPr>
          <w:p>
            <w:pPr>
              <w:ind w:left="140"/>
              <w:spacing w:after="0"/>
              <w:rPr>
                <w:sz w:val="20"/>
                <w:szCs w:val="20"/>
                <w:color w:val="auto"/>
              </w:rPr>
            </w:pPr>
            <w:r>
              <w:rPr>
                <w:rFonts w:ascii="Arial" w:cs="Arial" w:eastAsia="Arial" w:hAnsi="Arial"/>
                <w:sz w:val="18"/>
                <w:szCs w:val="18"/>
                <w:color w:val="auto"/>
              </w:rPr>
              <w:t>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6960" w:type="dxa"/>
            <w:vAlign w:val="bottom"/>
          </w:tcPr>
          <w:p>
            <w:pPr>
              <w:ind w:left="140"/>
              <w:spacing w:after="0"/>
              <w:rPr>
                <w:sz w:val="20"/>
                <w:szCs w:val="20"/>
                <w:color w:val="auto"/>
              </w:rPr>
            </w:pPr>
            <w:r>
              <w:rPr>
                <w:rFonts w:ascii="Arial" w:cs="Arial" w:eastAsia="Arial" w:hAnsi="Arial"/>
                <w:sz w:val="18"/>
                <w:szCs w:val="18"/>
                <w:color w:val="auto"/>
              </w:rPr>
              <w:t>Increased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6960" w:type="dxa"/>
            <w:vAlign w:val="bottom"/>
          </w:tcPr>
          <w:p>
            <w:pPr>
              <w:ind w:left="140"/>
              <w:spacing w:after="0"/>
              <w:rPr>
                <w:sz w:val="20"/>
                <w:szCs w:val="20"/>
                <w:color w:val="auto"/>
              </w:rPr>
            </w:pPr>
            <w:r>
              <w:rPr>
                <w:rFonts w:ascii="Arial" w:cs="Arial" w:eastAsia="Arial" w:hAnsi="Arial"/>
                <w:sz w:val="18"/>
                <w:szCs w:val="18"/>
                <w:color w:val="auto"/>
              </w:rPr>
              <w:t>Taxes</w:t>
            </w:r>
          </w:p>
        </w:tc>
        <w:tc>
          <w:tcPr>
            <w:tcW w:w="2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6960" w:type="dxa"/>
            <w:vAlign w:val="bottom"/>
          </w:tcPr>
          <w:p>
            <w:pPr>
              <w:ind w:left="140"/>
              <w:spacing w:after="0"/>
              <w:rPr>
                <w:sz w:val="20"/>
                <w:szCs w:val="20"/>
                <w:color w:val="auto"/>
              </w:rPr>
            </w:pPr>
            <w:r>
              <w:rPr>
                <w:rFonts w:ascii="Arial" w:cs="Arial" w:eastAsia="Arial" w:hAnsi="Arial"/>
                <w:sz w:val="18"/>
                <w:szCs w:val="18"/>
                <w:color w:val="auto"/>
              </w:rPr>
              <w:t>Mitigation Obligations; Replacement of Lenders</w:t>
            </w:r>
          </w:p>
        </w:tc>
        <w:tc>
          <w:tcPr>
            <w:tcW w:w="2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6960" w:type="dxa"/>
            <w:vAlign w:val="bottom"/>
          </w:tcPr>
          <w:p>
            <w:pPr>
              <w:ind w:left="140"/>
              <w:spacing w:after="0"/>
              <w:rPr>
                <w:sz w:val="20"/>
                <w:szCs w:val="20"/>
                <w:color w:val="auto"/>
              </w:rPr>
            </w:pPr>
            <w:r>
              <w:rPr>
                <w:rFonts w:ascii="Arial" w:cs="Arial" w:eastAsia="Arial" w:hAnsi="Arial"/>
                <w:sz w:val="18"/>
                <w:szCs w:val="18"/>
                <w:color w:val="auto"/>
              </w:rPr>
              <w:t>Incremental Loans</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6960" w:type="dxa"/>
            <w:vAlign w:val="bottom"/>
          </w:tcPr>
          <w:p>
            <w:pPr>
              <w:ind w:left="140"/>
              <w:spacing w:after="0"/>
              <w:rPr>
                <w:sz w:val="20"/>
                <w:szCs w:val="20"/>
                <w:color w:val="auto"/>
              </w:rPr>
            </w:pPr>
            <w:r>
              <w:rPr>
                <w:rFonts w:ascii="Arial" w:cs="Arial" w:eastAsia="Arial" w:hAnsi="Arial"/>
                <w:sz w:val="18"/>
                <w:szCs w:val="18"/>
                <w:color w:val="auto"/>
              </w:rPr>
              <w:t>Cash Collateral</w:t>
            </w:r>
          </w:p>
        </w:tc>
        <w:tc>
          <w:tcPr>
            <w:tcW w:w="24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6960" w:type="dxa"/>
            <w:vAlign w:val="bottom"/>
          </w:tcPr>
          <w:p>
            <w:pPr>
              <w:ind w:left="140"/>
              <w:spacing w:after="0"/>
              <w:rPr>
                <w:sz w:val="20"/>
                <w:szCs w:val="20"/>
                <w:color w:val="auto"/>
              </w:rPr>
            </w:pPr>
            <w:r>
              <w:rPr>
                <w:rFonts w:ascii="Arial" w:cs="Arial" w:eastAsia="Arial" w:hAnsi="Arial"/>
                <w:sz w:val="18"/>
                <w:szCs w:val="18"/>
                <w:color w:val="auto"/>
              </w:rPr>
              <w:t>Defaulting Lenders</w:t>
            </w:r>
          </w:p>
        </w:tc>
        <w:tc>
          <w:tcPr>
            <w:tcW w:w="24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6960" w:type="dxa"/>
            <w:vAlign w:val="bottom"/>
          </w:tcPr>
          <w:p>
            <w:pPr>
              <w:ind w:left="140"/>
              <w:spacing w:after="0"/>
              <w:rPr>
                <w:sz w:val="20"/>
                <w:szCs w:val="20"/>
                <w:color w:val="auto"/>
              </w:rPr>
            </w:pPr>
            <w:r>
              <w:rPr>
                <w:rFonts w:ascii="Arial" w:cs="Arial" w:eastAsia="Arial" w:hAnsi="Arial"/>
                <w:sz w:val="18"/>
                <w:szCs w:val="18"/>
                <w:color w:val="auto"/>
              </w:rPr>
              <w:t>Centuri as Agent for the Borrowers; Nature of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5.17</w:t>
            </w:r>
          </w:p>
        </w:tc>
        <w:tc>
          <w:tcPr>
            <w:tcW w:w="6960" w:type="dxa"/>
            <w:vAlign w:val="bottom"/>
          </w:tcPr>
          <w:p>
            <w:pPr>
              <w:ind w:left="140"/>
              <w:spacing w:after="0"/>
              <w:rPr>
                <w:sz w:val="20"/>
                <w:szCs w:val="20"/>
                <w:color w:val="auto"/>
              </w:rPr>
            </w:pPr>
            <w:r>
              <w:rPr>
                <w:rFonts w:ascii="Arial" w:cs="Arial" w:eastAsia="Arial" w:hAnsi="Arial"/>
                <w:sz w:val="18"/>
                <w:szCs w:val="18"/>
                <w:color w:val="auto"/>
              </w:rPr>
              <w:t>Additional Borrowers</w:t>
            </w:r>
          </w:p>
        </w:tc>
        <w:tc>
          <w:tcPr>
            <w:tcW w:w="24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5.18</w:t>
            </w:r>
          </w:p>
        </w:tc>
        <w:tc>
          <w:tcPr>
            <w:tcW w:w="6960" w:type="dxa"/>
            <w:vAlign w:val="bottom"/>
          </w:tcPr>
          <w:p>
            <w:pPr>
              <w:ind w:left="140"/>
              <w:spacing w:after="0"/>
              <w:rPr>
                <w:sz w:val="20"/>
                <w:szCs w:val="20"/>
                <w:color w:val="auto"/>
              </w:rPr>
            </w:pPr>
            <w:r>
              <w:rPr>
                <w:rFonts w:ascii="Arial" w:cs="Arial" w:eastAsia="Arial" w:hAnsi="Arial"/>
                <w:sz w:val="18"/>
                <w:szCs w:val="18"/>
                <w:color w:val="auto"/>
              </w:rPr>
              <w:t>Refinancing Facilities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5.19</w:t>
            </w:r>
          </w:p>
        </w:tc>
        <w:tc>
          <w:tcPr>
            <w:tcW w:w="6960" w:type="dxa"/>
            <w:vAlign w:val="bottom"/>
          </w:tcPr>
          <w:p>
            <w:pPr>
              <w:ind w:left="140"/>
              <w:spacing w:after="0"/>
              <w:rPr>
                <w:sz w:val="20"/>
                <w:szCs w:val="20"/>
                <w:color w:val="auto"/>
              </w:rPr>
            </w:pPr>
            <w:r>
              <w:rPr>
                <w:rFonts w:ascii="Arial" w:cs="Arial" w:eastAsia="Arial" w:hAnsi="Arial"/>
                <w:sz w:val="18"/>
                <w:szCs w:val="18"/>
                <w:color w:val="auto"/>
              </w:rPr>
              <w:t>Amend and Extend Transactions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 CONDITIONS OF CLOSING AND BORROWING</w:t>
            </w:r>
          </w:p>
        </w:tc>
        <w:tc>
          <w:tcPr>
            <w:tcW w:w="24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6960" w:type="dxa"/>
            <w:vAlign w:val="bottom"/>
          </w:tcPr>
          <w:p>
            <w:pPr>
              <w:ind w:left="140"/>
              <w:spacing w:after="0"/>
              <w:rPr>
                <w:sz w:val="20"/>
                <w:szCs w:val="20"/>
                <w:color w:val="auto"/>
              </w:rPr>
            </w:pPr>
            <w:r>
              <w:rPr>
                <w:rFonts w:ascii="Arial" w:cs="Arial" w:eastAsia="Arial" w:hAnsi="Arial"/>
                <w:sz w:val="18"/>
                <w:szCs w:val="18"/>
                <w:color w:val="auto"/>
              </w:rPr>
              <w:t>Conditions to Closing and Initial Extensions of Credit</w:t>
            </w:r>
          </w:p>
        </w:tc>
        <w:tc>
          <w:tcPr>
            <w:tcW w:w="24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6960" w:type="dxa"/>
            <w:vAlign w:val="bottom"/>
          </w:tcPr>
          <w:p>
            <w:pPr>
              <w:ind w:left="140"/>
              <w:spacing w:after="0"/>
              <w:rPr>
                <w:sz w:val="20"/>
                <w:szCs w:val="20"/>
                <w:color w:val="auto"/>
              </w:rPr>
            </w:pPr>
            <w:r>
              <w:rPr>
                <w:rFonts w:ascii="Arial" w:cs="Arial" w:eastAsia="Arial" w:hAnsi="Arial"/>
                <w:sz w:val="18"/>
                <w:szCs w:val="18"/>
                <w:color w:val="auto"/>
              </w:rPr>
              <w:t>Conditions to All Extensions of Credit</w:t>
            </w:r>
          </w:p>
        </w:tc>
        <w:tc>
          <w:tcPr>
            <w:tcW w:w="2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VII REPRESENTATIONS AND WARRANTIES OF THE CREDIT PARTIES</w:t>
            </w:r>
          </w:p>
        </w:tc>
        <w:tc>
          <w:tcPr>
            <w:tcW w:w="2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6960" w:type="dxa"/>
            <w:vAlign w:val="bottom"/>
          </w:tcPr>
          <w:p>
            <w:pPr>
              <w:ind w:left="140"/>
              <w:spacing w:after="0"/>
              <w:rPr>
                <w:sz w:val="20"/>
                <w:szCs w:val="20"/>
                <w:color w:val="auto"/>
              </w:rPr>
            </w:pPr>
            <w:r>
              <w:rPr>
                <w:rFonts w:ascii="Arial" w:cs="Arial" w:eastAsia="Arial" w:hAnsi="Arial"/>
                <w:sz w:val="18"/>
                <w:szCs w:val="18"/>
                <w:color w:val="auto"/>
              </w:rPr>
              <w:t>Organization; Power; Qualification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6960" w:type="dxa"/>
            <w:vAlign w:val="bottom"/>
          </w:tcPr>
          <w:p>
            <w:pPr>
              <w:ind w:left="140"/>
              <w:spacing w:after="0"/>
              <w:rPr>
                <w:sz w:val="20"/>
                <w:szCs w:val="20"/>
                <w:color w:val="auto"/>
              </w:rPr>
            </w:pPr>
            <w:r>
              <w:rPr>
                <w:rFonts w:ascii="Arial" w:cs="Arial" w:eastAsia="Arial" w:hAnsi="Arial"/>
                <w:sz w:val="18"/>
                <w:szCs w:val="18"/>
                <w:color w:val="auto"/>
              </w:rPr>
              <w:t>Ownership</w:t>
            </w:r>
          </w:p>
        </w:tc>
        <w:tc>
          <w:tcPr>
            <w:tcW w:w="2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65"/>
        </w:trPr>
        <w:tc>
          <w:tcPr>
            <w:tcW w:w="1600" w:type="dxa"/>
            <w:vAlign w:val="bottom"/>
          </w:tcPr>
          <w:p>
            <w:pPr>
              <w:spacing w:after="0"/>
              <w:rPr>
                <w:sz w:val="24"/>
                <w:szCs w:val="24"/>
                <w:color w:val="auto"/>
              </w:rPr>
            </w:pPr>
          </w:p>
        </w:tc>
        <w:tc>
          <w:tcPr>
            <w:tcW w:w="6960" w:type="dxa"/>
            <w:vAlign w:val="bottom"/>
          </w:tcPr>
          <w:p>
            <w:pPr>
              <w:ind w:left="3860"/>
              <w:spacing w:after="0"/>
              <w:rPr>
                <w:sz w:val="20"/>
                <w:szCs w:val="20"/>
                <w:color w:val="auto"/>
              </w:rPr>
            </w:pPr>
            <w:r>
              <w:rPr>
                <w:rFonts w:ascii="Arial" w:cs="Arial" w:eastAsia="Arial" w:hAnsi="Arial"/>
                <w:sz w:val="18"/>
                <w:szCs w:val="18"/>
                <w:color w:val="auto"/>
              </w:rPr>
              <w:t>ii</w:t>
            </w:r>
          </w:p>
        </w:tc>
        <w:tc>
          <w:tcPr>
            <w:tcW w:w="24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340" w:type="dxa"/>
            <w:vAlign w:val="bottom"/>
          </w:tcPr>
          <w:p>
            <w:pPr>
              <w:ind w:left="140"/>
              <w:spacing w:after="0"/>
              <w:rPr>
                <w:sz w:val="20"/>
                <w:szCs w:val="20"/>
                <w:color w:val="auto"/>
              </w:rPr>
            </w:pPr>
            <w:r>
              <w:rPr>
                <w:rFonts w:ascii="Arial" w:cs="Arial" w:eastAsia="Arial" w:hAnsi="Arial"/>
                <w:sz w:val="18"/>
                <w:szCs w:val="18"/>
                <w:color w:val="auto"/>
              </w:rPr>
              <w:t>Authorization; Enforceability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340" w:type="dxa"/>
            <w:vAlign w:val="bottom"/>
          </w:tcPr>
          <w:p>
            <w:pPr>
              <w:ind w:left="140"/>
              <w:spacing w:after="0"/>
              <w:rPr>
                <w:sz w:val="20"/>
                <w:szCs w:val="20"/>
                <w:color w:val="auto"/>
              </w:rPr>
            </w:pPr>
            <w:r>
              <w:rPr>
                <w:rFonts w:ascii="Arial" w:cs="Arial" w:eastAsia="Arial" w:hAnsi="Arial"/>
                <w:sz w:val="18"/>
                <w:szCs w:val="18"/>
                <w:color w:val="auto"/>
              </w:rPr>
              <w:t>Compliance of Agreement, Loan Documents and Borrowing with Laws, Etc</w:t>
            </w:r>
          </w:p>
        </w:tc>
        <w:tc>
          <w:tcPr>
            <w:tcW w:w="20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340" w:type="dxa"/>
            <w:vAlign w:val="bottom"/>
          </w:tcPr>
          <w:p>
            <w:pPr>
              <w:ind w:left="140"/>
              <w:spacing w:after="0"/>
              <w:rPr>
                <w:sz w:val="20"/>
                <w:szCs w:val="20"/>
                <w:color w:val="auto"/>
              </w:rPr>
            </w:pPr>
            <w:r>
              <w:rPr>
                <w:rFonts w:ascii="Arial" w:cs="Arial" w:eastAsia="Arial" w:hAnsi="Arial"/>
                <w:sz w:val="18"/>
                <w:szCs w:val="18"/>
                <w:color w:val="auto"/>
              </w:rPr>
              <w:t>Compliance with Law; Governmental Approvals</w:t>
            </w:r>
          </w:p>
        </w:tc>
        <w:tc>
          <w:tcPr>
            <w:tcW w:w="20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340" w:type="dxa"/>
            <w:vAlign w:val="bottom"/>
          </w:tcPr>
          <w:p>
            <w:pPr>
              <w:ind w:left="140"/>
              <w:spacing w:after="0"/>
              <w:rPr>
                <w:sz w:val="20"/>
                <w:szCs w:val="20"/>
                <w:color w:val="auto"/>
              </w:rPr>
            </w:pPr>
            <w:r>
              <w:rPr>
                <w:rFonts w:ascii="Arial" w:cs="Arial" w:eastAsia="Arial" w:hAnsi="Arial"/>
                <w:sz w:val="18"/>
                <w:szCs w:val="18"/>
                <w:color w:val="auto"/>
              </w:rPr>
              <w:t>Tax Returns and Payments</w:t>
            </w:r>
          </w:p>
        </w:tc>
        <w:tc>
          <w:tcPr>
            <w:tcW w:w="20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340" w:type="dxa"/>
            <w:vAlign w:val="bottom"/>
          </w:tcPr>
          <w:p>
            <w:pPr>
              <w:ind w:left="140"/>
              <w:spacing w:after="0"/>
              <w:rPr>
                <w:sz w:val="20"/>
                <w:szCs w:val="20"/>
                <w:color w:val="auto"/>
              </w:rPr>
            </w:pPr>
            <w:r>
              <w:rPr>
                <w:rFonts w:ascii="Arial" w:cs="Arial" w:eastAsia="Arial" w:hAnsi="Arial"/>
                <w:sz w:val="18"/>
                <w:szCs w:val="18"/>
                <w:color w:val="auto"/>
              </w:rPr>
              <w:t>Intellectual Property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340" w:type="dxa"/>
            <w:vAlign w:val="bottom"/>
          </w:tcPr>
          <w:p>
            <w:pPr>
              <w:ind w:left="140"/>
              <w:spacing w:after="0"/>
              <w:rPr>
                <w:sz w:val="20"/>
                <w:szCs w:val="20"/>
                <w:color w:val="auto"/>
              </w:rPr>
            </w:pPr>
            <w:r>
              <w:rPr>
                <w:rFonts w:ascii="Arial" w:cs="Arial" w:eastAsia="Arial" w:hAnsi="Arial"/>
                <w:sz w:val="18"/>
                <w:szCs w:val="18"/>
                <w:color w:val="auto"/>
              </w:rPr>
              <w:t>Environmental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7340" w:type="dxa"/>
            <w:vAlign w:val="bottom"/>
          </w:tcPr>
          <w:p>
            <w:pPr>
              <w:ind w:left="140"/>
              <w:spacing w:after="0"/>
              <w:rPr>
                <w:sz w:val="20"/>
                <w:szCs w:val="20"/>
                <w:color w:val="auto"/>
              </w:rPr>
            </w:pPr>
            <w:r>
              <w:rPr>
                <w:rFonts w:ascii="Arial" w:cs="Arial" w:eastAsia="Arial" w:hAnsi="Arial"/>
                <w:sz w:val="18"/>
                <w:szCs w:val="18"/>
                <w:color w:val="auto"/>
              </w:rPr>
              <w:t>Employee Benefit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340" w:type="dxa"/>
            <w:vAlign w:val="bottom"/>
          </w:tcPr>
          <w:p>
            <w:pPr>
              <w:ind w:left="140"/>
              <w:spacing w:after="0"/>
              <w:rPr>
                <w:sz w:val="20"/>
                <w:szCs w:val="20"/>
                <w:color w:val="auto"/>
              </w:rPr>
            </w:pPr>
            <w:r>
              <w:rPr>
                <w:rFonts w:ascii="Arial" w:cs="Arial" w:eastAsia="Arial" w:hAnsi="Arial"/>
                <w:sz w:val="18"/>
                <w:szCs w:val="18"/>
                <w:color w:val="auto"/>
              </w:rPr>
              <w:t>Margin Stock</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340" w:type="dxa"/>
            <w:vAlign w:val="bottom"/>
          </w:tcPr>
          <w:p>
            <w:pPr>
              <w:ind w:left="140"/>
              <w:spacing w:after="0"/>
              <w:rPr>
                <w:sz w:val="20"/>
                <w:szCs w:val="20"/>
                <w:color w:val="auto"/>
              </w:rPr>
            </w:pPr>
            <w:r>
              <w:rPr>
                <w:rFonts w:ascii="Arial" w:cs="Arial" w:eastAsia="Arial" w:hAnsi="Arial"/>
                <w:sz w:val="18"/>
                <w:szCs w:val="18"/>
                <w:color w:val="auto"/>
              </w:rPr>
              <w:t>Government Regulation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340" w:type="dxa"/>
            <w:vAlign w:val="bottom"/>
          </w:tcPr>
          <w:p>
            <w:pPr>
              <w:ind w:left="140"/>
              <w:spacing w:after="0"/>
              <w:rPr>
                <w:sz w:val="20"/>
                <w:szCs w:val="20"/>
                <w:color w:val="auto"/>
              </w:rPr>
            </w:pPr>
            <w:r>
              <w:rPr>
                <w:rFonts w:ascii="Arial" w:cs="Arial" w:eastAsia="Arial" w:hAnsi="Arial"/>
                <w:sz w:val="18"/>
                <w:szCs w:val="18"/>
                <w:color w:val="auto"/>
              </w:rPr>
              <w:t>[Intentionally Omitted]</w:t>
            </w:r>
          </w:p>
        </w:tc>
        <w:tc>
          <w:tcPr>
            <w:tcW w:w="2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340" w:type="dxa"/>
            <w:vAlign w:val="bottom"/>
          </w:tcPr>
          <w:p>
            <w:pPr>
              <w:ind w:left="140"/>
              <w:spacing w:after="0"/>
              <w:rPr>
                <w:sz w:val="20"/>
                <w:szCs w:val="20"/>
                <w:color w:val="auto"/>
              </w:rPr>
            </w:pPr>
            <w:r>
              <w:rPr>
                <w:rFonts w:ascii="Arial" w:cs="Arial" w:eastAsia="Arial" w:hAnsi="Arial"/>
                <w:sz w:val="18"/>
                <w:szCs w:val="18"/>
                <w:color w:val="auto"/>
              </w:rPr>
              <w:t>Employee Relations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340" w:type="dxa"/>
            <w:vAlign w:val="bottom"/>
          </w:tcPr>
          <w:p>
            <w:pPr>
              <w:ind w:left="140"/>
              <w:spacing w:after="0"/>
              <w:rPr>
                <w:sz w:val="20"/>
                <w:szCs w:val="20"/>
                <w:color w:val="auto"/>
              </w:rPr>
            </w:pPr>
            <w:r>
              <w:rPr>
                <w:rFonts w:ascii="Arial" w:cs="Arial" w:eastAsia="Arial" w:hAnsi="Arial"/>
                <w:sz w:val="18"/>
                <w:szCs w:val="18"/>
                <w:color w:val="auto"/>
              </w:rPr>
              <w:t>Burdensome Provisions</w:t>
            </w:r>
          </w:p>
        </w:tc>
        <w:tc>
          <w:tcPr>
            <w:tcW w:w="2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7.15</w:t>
            </w:r>
          </w:p>
        </w:tc>
        <w:tc>
          <w:tcPr>
            <w:tcW w:w="734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7.16</w:t>
            </w:r>
          </w:p>
        </w:tc>
        <w:tc>
          <w:tcPr>
            <w:tcW w:w="7340" w:type="dxa"/>
            <w:vAlign w:val="bottom"/>
          </w:tcPr>
          <w:p>
            <w:pPr>
              <w:ind w:left="140"/>
              <w:spacing w:after="0"/>
              <w:rPr>
                <w:sz w:val="20"/>
                <w:szCs w:val="20"/>
                <w:color w:val="auto"/>
              </w:rPr>
            </w:pPr>
            <w:r>
              <w:rPr>
                <w:rFonts w:ascii="Arial" w:cs="Arial" w:eastAsia="Arial" w:hAnsi="Arial"/>
                <w:sz w:val="18"/>
                <w:szCs w:val="18"/>
                <w:color w:val="auto"/>
              </w:rPr>
              <w:t>No Material Adverse Change</w:t>
            </w:r>
          </w:p>
        </w:tc>
        <w:tc>
          <w:tcPr>
            <w:tcW w:w="2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7.17</w:t>
            </w:r>
          </w:p>
        </w:tc>
        <w:tc>
          <w:tcPr>
            <w:tcW w:w="7340" w:type="dxa"/>
            <w:vAlign w:val="bottom"/>
          </w:tcPr>
          <w:p>
            <w:pPr>
              <w:ind w:left="140"/>
              <w:spacing w:after="0"/>
              <w:rPr>
                <w:sz w:val="20"/>
                <w:szCs w:val="20"/>
                <w:color w:val="auto"/>
              </w:rPr>
            </w:pPr>
            <w:r>
              <w:rPr>
                <w:rFonts w:ascii="Arial" w:cs="Arial" w:eastAsia="Arial" w:hAnsi="Arial"/>
                <w:sz w:val="18"/>
                <w:szCs w:val="18"/>
                <w:color w:val="auto"/>
              </w:rPr>
              <w:t>Solvency</w:t>
            </w:r>
          </w:p>
        </w:tc>
        <w:tc>
          <w:tcPr>
            <w:tcW w:w="2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7.18</w:t>
            </w:r>
          </w:p>
        </w:tc>
        <w:tc>
          <w:tcPr>
            <w:tcW w:w="7340" w:type="dxa"/>
            <w:vAlign w:val="bottom"/>
          </w:tcPr>
          <w:p>
            <w:pPr>
              <w:ind w:left="140"/>
              <w:spacing w:after="0"/>
              <w:rPr>
                <w:sz w:val="20"/>
                <w:szCs w:val="20"/>
                <w:color w:val="auto"/>
              </w:rPr>
            </w:pPr>
            <w:r>
              <w:rPr>
                <w:rFonts w:ascii="Arial" w:cs="Arial" w:eastAsia="Arial" w:hAnsi="Arial"/>
                <w:sz w:val="18"/>
                <w:szCs w:val="18"/>
                <w:color w:val="auto"/>
              </w:rPr>
              <w:t>Title to Properties</w:t>
            </w:r>
          </w:p>
        </w:tc>
        <w:tc>
          <w:tcPr>
            <w:tcW w:w="2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7.19</w:t>
            </w:r>
          </w:p>
        </w:tc>
        <w:tc>
          <w:tcPr>
            <w:tcW w:w="734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7.20</w:t>
            </w:r>
          </w:p>
        </w:tc>
        <w:tc>
          <w:tcPr>
            <w:tcW w:w="7340" w:type="dxa"/>
            <w:vAlign w:val="bottom"/>
          </w:tcPr>
          <w:p>
            <w:pPr>
              <w:ind w:left="140"/>
              <w:spacing w:after="0"/>
              <w:rPr>
                <w:sz w:val="20"/>
                <w:szCs w:val="20"/>
                <w:color w:val="auto"/>
              </w:rPr>
            </w:pPr>
            <w:r>
              <w:rPr>
                <w:rFonts w:ascii="Arial" w:cs="Arial" w:eastAsia="Arial" w:hAnsi="Arial"/>
                <w:sz w:val="18"/>
                <w:szCs w:val="18"/>
                <w:color w:val="auto"/>
              </w:rPr>
              <w:t>Anti-Corruption Laws and Sanctions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7.21</w:t>
            </w:r>
          </w:p>
        </w:tc>
        <w:tc>
          <w:tcPr>
            <w:tcW w:w="7340" w:type="dxa"/>
            <w:vAlign w:val="bottom"/>
          </w:tcPr>
          <w:p>
            <w:pPr>
              <w:ind w:left="140"/>
              <w:spacing w:after="0"/>
              <w:rPr>
                <w:sz w:val="20"/>
                <w:szCs w:val="20"/>
                <w:color w:val="auto"/>
              </w:rPr>
            </w:pPr>
            <w:r>
              <w:rPr>
                <w:rFonts w:ascii="Arial" w:cs="Arial" w:eastAsia="Arial" w:hAnsi="Arial"/>
                <w:sz w:val="18"/>
                <w:szCs w:val="18"/>
                <w:color w:val="auto"/>
              </w:rPr>
              <w:t>Absence of Defaults</w:t>
            </w:r>
          </w:p>
        </w:tc>
        <w:tc>
          <w:tcPr>
            <w:tcW w:w="2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7.22</w:t>
            </w:r>
          </w:p>
        </w:tc>
        <w:tc>
          <w:tcPr>
            <w:tcW w:w="7340" w:type="dxa"/>
            <w:vAlign w:val="bottom"/>
          </w:tcPr>
          <w:p>
            <w:pPr>
              <w:ind w:left="140"/>
              <w:spacing w:after="0"/>
              <w:rPr>
                <w:sz w:val="20"/>
                <w:szCs w:val="20"/>
                <w:color w:val="auto"/>
              </w:rPr>
            </w:pPr>
            <w:r>
              <w:rPr>
                <w:rFonts w:ascii="Arial" w:cs="Arial" w:eastAsia="Arial" w:hAnsi="Arial"/>
                <w:sz w:val="18"/>
                <w:szCs w:val="18"/>
                <w:color w:val="auto"/>
              </w:rPr>
              <w:t>Senior Indebtedness Status</w:t>
            </w:r>
          </w:p>
        </w:tc>
        <w:tc>
          <w:tcPr>
            <w:tcW w:w="2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7.23</w:t>
            </w:r>
          </w:p>
        </w:tc>
        <w:tc>
          <w:tcPr>
            <w:tcW w:w="7340" w:type="dxa"/>
            <w:vAlign w:val="bottom"/>
          </w:tcPr>
          <w:p>
            <w:pPr>
              <w:ind w:left="140"/>
              <w:spacing w:after="0"/>
              <w:rPr>
                <w:sz w:val="20"/>
                <w:szCs w:val="20"/>
                <w:color w:val="auto"/>
              </w:rPr>
            </w:pPr>
            <w:r>
              <w:rPr>
                <w:rFonts w:ascii="Arial" w:cs="Arial" w:eastAsia="Arial" w:hAnsi="Arial"/>
                <w:sz w:val="18"/>
                <w:szCs w:val="18"/>
                <w:color w:val="auto"/>
              </w:rPr>
              <w:t>Disclosure</w:t>
            </w:r>
          </w:p>
        </w:tc>
        <w:tc>
          <w:tcPr>
            <w:tcW w:w="2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7.24</w:t>
            </w:r>
          </w:p>
        </w:tc>
        <w:tc>
          <w:tcPr>
            <w:tcW w:w="734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VIII AFFIRMATIVE COVENANTS</w:t>
            </w: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340" w:type="dxa"/>
            <w:vAlign w:val="bottom"/>
          </w:tcPr>
          <w:p>
            <w:pPr>
              <w:ind w:left="140"/>
              <w:spacing w:after="0"/>
              <w:rPr>
                <w:sz w:val="20"/>
                <w:szCs w:val="20"/>
                <w:color w:val="auto"/>
              </w:rPr>
            </w:pPr>
            <w:r>
              <w:rPr>
                <w:rFonts w:ascii="Arial" w:cs="Arial" w:eastAsia="Arial" w:hAnsi="Arial"/>
                <w:sz w:val="18"/>
                <w:szCs w:val="18"/>
                <w:color w:val="auto"/>
              </w:rPr>
              <w:t>Financial Statements and Budgets</w:t>
            </w: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340" w:type="dxa"/>
            <w:vAlign w:val="bottom"/>
          </w:tcPr>
          <w:p>
            <w:pPr>
              <w:ind w:left="140"/>
              <w:spacing w:after="0"/>
              <w:rPr>
                <w:sz w:val="20"/>
                <w:szCs w:val="20"/>
                <w:color w:val="auto"/>
              </w:rPr>
            </w:pPr>
            <w:r>
              <w:rPr>
                <w:rFonts w:ascii="Arial" w:cs="Arial" w:eastAsia="Arial" w:hAnsi="Arial"/>
                <w:sz w:val="18"/>
                <w:szCs w:val="18"/>
                <w:color w:val="auto"/>
              </w:rPr>
              <w:t>Certificates; Other Reports</w:t>
            </w:r>
          </w:p>
        </w:tc>
        <w:tc>
          <w:tcPr>
            <w:tcW w:w="20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340" w:type="dxa"/>
            <w:vAlign w:val="bottom"/>
          </w:tcPr>
          <w:p>
            <w:pPr>
              <w:ind w:left="140"/>
              <w:spacing w:after="0"/>
              <w:rPr>
                <w:sz w:val="20"/>
                <w:szCs w:val="20"/>
                <w:color w:val="auto"/>
              </w:rPr>
            </w:pPr>
            <w:r>
              <w:rPr>
                <w:rFonts w:ascii="Arial" w:cs="Arial" w:eastAsia="Arial" w:hAnsi="Arial"/>
                <w:sz w:val="18"/>
                <w:szCs w:val="18"/>
                <w:color w:val="auto"/>
              </w:rPr>
              <w:t>Notice of Litigation and Other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7340" w:type="dxa"/>
            <w:vAlign w:val="bottom"/>
          </w:tcPr>
          <w:p>
            <w:pPr>
              <w:ind w:left="140"/>
              <w:spacing w:after="0"/>
              <w:rPr>
                <w:sz w:val="20"/>
                <w:szCs w:val="20"/>
                <w:color w:val="auto"/>
              </w:rPr>
            </w:pPr>
            <w:r>
              <w:rPr>
                <w:rFonts w:ascii="Arial" w:cs="Arial" w:eastAsia="Arial" w:hAnsi="Arial"/>
                <w:sz w:val="18"/>
                <w:szCs w:val="18"/>
                <w:color w:val="auto"/>
              </w:rPr>
              <w:t>Preservation of Corporate Existence and Related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7340" w:type="dxa"/>
            <w:vAlign w:val="bottom"/>
          </w:tcPr>
          <w:p>
            <w:pPr>
              <w:ind w:left="140"/>
              <w:spacing w:after="0"/>
              <w:rPr>
                <w:sz w:val="20"/>
                <w:szCs w:val="20"/>
                <w:color w:val="auto"/>
              </w:rPr>
            </w:pPr>
            <w:r>
              <w:rPr>
                <w:rFonts w:ascii="Arial" w:cs="Arial" w:eastAsia="Arial" w:hAnsi="Arial"/>
                <w:sz w:val="18"/>
                <w:szCs w:val="18"/>
                <w:color w:val="auto"/>
              </w:rPr>
              <w:t>Maintenance of Property and Licenses</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734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7340" w:type="dxa"/>
            <w:vAlign w:val="bottom"/>
          </w:tcPr>
          <w:p>
            <w:pPr>
              <w:ind w:left="140"/>
              <w:spacing w:after="0"/>
              <w:rPr>
                <w:sz w:val="20"/>
                <w:szCs w:val="20"/>
                <w:color w:val="auto"/>
              </w:rPr>
            </w:pPr>
            <w:r>
              <w:rPr>
                <w:rFonts w:ascii="Arial" w:cs="Arial" w:eastAsia="Arial" w:hAnsi="Arial"/>
                <w:sz w:val="18"/>
                <w:szCs w:val="18"/>
                <w:color w:val="auto"/>
              </w:rPr>
              <w:t>Accounting Methods and Financial Records</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7340" w:type="dxa"/>
            <w:vAlign w:val="bottom"/>
          </w:tcPr>
          <w:p>
            <w:pPr>
              <w:ind w:left="140"/>
              <w:spacing w:after="0"/>
              <w:rPr>
                <w:sz w:val="20"/>
                <w:szCs w:val="20"/>
                <w:color w:val="auto"/>
              </w:rPr>
            </w:pPr>
            <w:r>
              <w:rPr>
                <w:rFonts w:ascii="Arial" w:cs="Arial" w:eastAsia="Arial" w:hAnsi="Arial"/>
                <w:sz w:val="18"/>
                <w:szCs w:val="18"/>
                <w:color w:val="auto"/>
              </w:rPr>
              <w:t>Payment of Taxes and Other Obligations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7340" w:type="dxa"/>
            <w:vAlign w:val="bottom"/>
          </w:tcPr>
          <w:p>
            <w:pPr>
              <w:ind w:left="140"/>
              <w:spacing w:after="0"/>
              <w:rPr>
                <w:sz w:val="20"/>
                <w:szCs w:val="20"/>
                <w:color w:val="auto"/>
              </w:rPr>
            </w:pPr>
            <w:r>
              <w:rPr>
                <w:rFonts w:ascii="Arial" w:cs="Arial" w:eastAsia="Arial" w:hAnsi="Arial"/>
                <w:sz w:val="18"/>
                <w:szCs w:val="18"/>
                <w:color w:val="auto"/>
              </w:rPr>
              <w:t>Compliance with Laws and Approvals</w:t>
            </w:r>
          </w:p>
        </w:tc>
        <w:tc>
          <w:tcPr>
            <w:tcW w:w="20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65"/>
        </w:trPr>
        <w:tc>
          <w:tcPr>
            <w:tcW w:w="1600" w:type="dxa"/>
            <w:vAlign w:val="bottom"/>
          </w:tcPr>
          <w:p>
            <w:pPr>
              <w:spacing w:after="0"/>
              <w:rPr>
                <w:sz w:val="24"/>
                <w:szCs w:val="24"/>
                <w:color w:val="auto"/>
              </w:rPr>
            </w:pPr>
          </w:p>
        </w:tc>
        <w:tc>
          <w:tcPr>
            <w:tcW w:w="7340" w:type="dxa"/>
            <w:vAlign w:val="bottom"/>
          </w:tcPr>
          <w:p>
            <w:pPr>
              <w:ind w:left="3820"/>
              <w:spacing w:after="0"/>
              <w:rPr>
                <w:sz w:val="20"/>
                <w:szCs w:val="20"/>
                <w:color w:val="auto"/>
              </w:rPr>
            </w:pPr>
            <w:r>
              <w:rPr>
                <w:rFonts w:ascii="Arial" w:cs="Arial" w:eastAsia="Arial" w:hAnsi="Arial"/>
                <w:sz w:val="18"/>
                <w:szCs w:val="18"/>
                <w:color w:val="auto"/>
              </w:rPr>
              <w:t>iii</w:t>
            </w:r>
          </w:p>
        </w:tc>
        <w:tc>
          <w:tcPr>
            <w:tcW w:w="20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8960" w:type="dxa"/>
            <w:vAlign w:val="bottom"/>
          </w:tcPr>
          <w:p>
            <w:pPr>
              <w:ind w:left="140"/>
              <w:spacing w:after="0"/>
              <w:rPr>
                <w:sz w:val="20"/>
                <w:szCs w:val="20"/>
                <w:color w:val="auto"/>
              </w:rPr>
            </w:pPr>
            <w:r>
              <w:rPr>
                <w:rFonts w:ascii="Arial" w:cs="Arial" w:eastAsia="Arial" w:hAnsi="Arial"/>
                <w:sz w:val="18"/>
                <w:szCs w:val="18"/>
                <w:color w:val="auto"/>
              </w:rPr>
              <w:t>Environmental Laws</w:t>
            </w: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8.11</w:t>
            </w:r>
          </w:p>
        </w:tc>
        <w:tc>
          <w:tcPr>
            <w:tcW w:w="8960" w:type="dxa"/>
            <w:vAlign w:val="bottom"/>
          </w:tcPr>
          <w:p>
            <w:pPr>
              <w:ind w:left="140"/>
              <w:spacing w:after="0"/>
              <w:rPr>
                <w:sz w:val="20"/>
                <w:szCs w:val="20"/>
                <w:color w:val="auto"/>
              </w:rPr>
            </w:pPr>
            <w:r>
              <w:rPr>
                <w:rFonts w:ascii="Arial" w:cs="Arial" w:eastAsia="Arial" w:hAnsi="Arial"/>
                <w:sz w:val="18"/>
                <w:szCs w:val="18"/>
                <w:color w:val="auto"/>
              </w:rPr>
              <w:t>Compliance with ERISA and Canadian Pension Laws</w:t>
            </w: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8.12</w:t>
            </w:r>
          </w:p>
        </w:tc>
        <w:tc>
          <w:tcPr>
            <w:tcW w:w="8960" w:type="dxa"/>
            <w:vAlign w:val="bottom"/>
          </w:tcPr>
          <w:p>
            <w:pPr>
              <w:ind w:left="140"/>
              <w:spacing w:after="0"/>
              <w:rPr>
                <w:sz w:val="20"/>
                <w:szCs w:val="20"/>
                <w:color w:val="auto"/>
              </w:rPr>
            </w:pPr>
            <w:r>
              <w:rPr>
                <w:rFonts w:ascii="Arial" w:cs="Arial" w:eastAsia="Arial" w:hAnsi="Arial"/>
                <w:sz w:val="18"/>
                <w:szCs w:val="18"/>
                <w:color w:val="auto"/>
              </w:rPr>
              <w:t>Maintenance of Debt Ratings</w:t>
            </w: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8.13</w:t>
            </w:r>
          </w:p>
        </w:tc>
        <w:tc>
          <w:tcPr>
            <w:tcW w:w="8960" w:type="dxa"/>
            <w:vAlign w:val="bottom"/>
          </w:tcPr>
          <w:p>
            <w:pPr>
              <w:ind w:left="140"/>
              <w:spacing w:after="0"/>
              <w:rPr>
                <w:sz w:val="20"/>
                <w:szCs w:val="20"/>
                <w:color w:val="auto"/>
              </w:rPr>
            </w:pPr>
            <w:r>
              <w:rPr>
                <w:rFonts w:ascii="Arial" w:cs="Arial" w:eastAsia="Arial" w:hAnsi="Arial"/>
                <w:sz w:val="18"/>
                <w:szCs w:val="18"/>
                <w:color w:val="auto"/>
              </w:rPr>
              <w:t>Visits and Inspections</w:t>
            </w: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8.14</w:t>
            </w:r>
          </w:p>
        </w:tc>
        <w:tc>
          <w:tcPr>
            <w:tcW w:w="8960" w:type="dxa"/>
            <w:vAlign w:val="bottom"/>
          </w:tcPr>
          <w:p>
            <w:pPr>
              <w:ind w:left="140"/>
              <w:spacing w:after="0"/>
              <w:rPr>
                <w:sz w:val="20"/>
                <w:szCs w:val="20"/>
                <w:color w:val="auto"/>
              </w:rPr>
            </w:pPr>
            <w:r>
              <w:rPr>
                <w:rFonts w:ascii="Arial" w:cs="Arial" w:eastAsia="Arial" w:hAnsi="Arial"/>
                <w:sz w:val="18"/>
                <w:szCs w:val="18"/>
                <w:color w:val="auto"/>
              </w:rPr>
              <w:t>Additional Subsidiaries and Collateral</w:t>
            </w: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8.15</w:t>
            </w:r>
          </w:p>
        </w:tc>
        <w:tc>
          <w:tcPr>
            <w:tcW w:w="8960" w:type="dxa"/>
            <w:vAlign w:val="bottom"/>
          </w:tcPr>
          <w:p>
            <w:pPr>
              <w:ind w:left="140"/>
              <w:spacing w:after="0"/>
              <w:rPr>
                <w:sz w:val="20"/>
                <w:szCs w:val="20"/>
                <w:color w:val="auto"/>
              </w:rPr>
            </w:pPr>
            <w:r>
              <w:rPr>
                <w:rFonts w:ascii="Arial" w:cs="Arial" w:eastAsia="Arial" w:hAnsi="Arial"/>
                <w:sz w:val="18"/>
                <w:szCs w:val="18"/>
                <w:color w:val="auto"/>
              </w:rPr>
              <w:t>Use of Proceeds</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8.16</w:t>
            </w:r>
          </w:p>
        </w:tc>
        <w:tc>
          <w:tcPr>
            <w:tcW w:w="8960" w:type="dxa"/>
            <w:vAlign w:val="bottom"/>
          </w:tcPr>
          <w:p>
            <w:pPr>
              <w:ind w:left="140"/>
              <w:spacing w:after="0"/>
              <w:rPr>
                <w:sz w:val="20"/>
                <w:szCs w:val="20"/>
                <w:color w:val="auto"/>
              </w:rPr>
            </w:pPr>
            <w:r>
              <w:rPr>
                <w:rFonts w:ascii="Arial" w:cs="Arial" w:eastAsia="Arial" w:hAnsi="Arial"/>
                <w:sz w:val="18"/>
                <w:szCs w:val="18"/>
                <w:color w:val="auto"/>
              </w:rPr>
              <w:t>Corporate Governance</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8.17</w:t>
            </w:r>
          </w:p>
        </w:tc>
        <w:tc>
          <w:tcPr>
            <w:tcW w:w="896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8.18</w:t>
            </w:r>
          </w:p>
        </w:tc>
        <w:tc>
          <w:tcPr>
            <w:tcW w:w="8960" w:type="dxa"/>
            <w:vAlign w:val="bottom"/>
          </w:tcPr>
          <w:p>
            <w:pPr>
              <w:ind w:left="140"/>
              <w:spacing w:after="0"/>
              <w:rPr>
                <w:sz w:val="20"/>
                <w:szCs w:val="20"/>
                <w:color w:val="auto"/>
              </w:rPr>
            </w:pPr>
            <w:r>
              <w:rPr>
                <w:rFonts w:ascii="Arial" w:cs="Arial" w:eastAsia="Arial" w:hAnsi="Arial"/>
                <w:sz w:val="18"/>
                <w:szCs w:val="18"/>
                <w:color w:val="auto"/>
                <w:w w:val="93"/>
              </w:rPr>
              <w:t>Compliance with Anti-Corruption Laws; Beneficial Ownership Regulation, Anti-Money Laundering Laws and Sanctions</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8.19</w:t>
            </w:r>
          </w:p>
        </w:tc>
        <w:tc>
          <w:tcPr>
            <w:tcW w:w="8960" w:type="dxa"/>
            <w:vAlign w:val="bottom"/>
          </w:tcPr>
          <w:p>
            <w:pPr>
              <w:ind w:left="140"/>
              <w:spacing w:after="0"/>
              <w:rPr>
                <w:sz w:val="20"/>
                <w:szCs w:val="20"/>
                <w:color w:val="auto"/>
              </w:rPr>
            </w:pPr>
            <w:r>
              <w:rPr>
                <w:rFonts w:ascii="Arial" w:cs="Arial" w:eastAsia="Arial" w:hAnsi="Arial"/>
                <w:sz w:val="18"/>
                <w:szCs w:val="18"/>
                <w:color w:val="auto"/>
              </w:rPr>
              <w:t>Post-Closing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0560" w:type="dxa"/>
            <w:vAlign w:val="bottom"/>
            <w:gridSpan w:val="2"/>
          </w:tcPr>
          <w:p>
            <w:pPr>
              <w:spacing w:after="0"/>
              <w:rPr>
                <w:sz w:val="20"/>
                <w:szCs w:val="20"/>
                <w:color w:val="auto"/>
              </w:rPr>
            </w:pPr>
            <w:r>
              <w:rPr>
                <w:rFonts w:ascii="Arial" w:cs="Arial" w:eastAsia="Arial" w:hAnsi="Arial"/>
                <w:sz w:val="18"/>
                <w:szCs w:val="18"/>
                <w:color w:val="auto"/>
              </w:rPr>
              <w:t>ARTICLE IX NEGATIVE COVENANTS</w:t>
            </w: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8960" w:type="dxa"/>
            <w:vAlign w:val="bottom"/>
          </w:tcPr>
          <w:p>
            <w:pPr>
              <w:ind w:left="140"/>
              <w:spacing w:after="0"/>
              <w:rPr>
                <w:sz w:val="20"/>
                <w:szCs w:val="20"/>
                <w:color w:val="auto"/>
              </w:rPr>
            </w:pPr>
            <w:r>
              <w:rPr>
                <w:rFonts w:ascii="Arial" w:cs="Arial" w:eastAsia="Arial" w:hAnsi="Arial"/>
                <w:sz w:val="18"/>
                <w:szCs w:val="18"/>
                <w:color w:val="auto"/>
              </w:rPr>
              <w:t>Indebtedness</w:t>
            </w: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8960" w:type="dxa"/>
            <w:vAlign w:val="bottom"/>
          </w:tcPr>
          <w:p>
            <w:pPr>
              <w:ind w:left="140"/>
              <w:spacing w:after="0"/>
              <w:rPr>
                <w:sz w:val="20"/>
                <w:szCs w:val="20"/>
                <w:color w:val="auto"/>
              </w:rPr>
            </w:pPr>
            <w:r>
              <w:rPr>
                <w:rFonts w:ascii="Arial" w:cs="Arial" w:eastAsia="Arial" w:hAnsi="Arial"/>
                <w:sz w:val="18"/>
                <w:szCs w:val="18"/>
                <w:color w:val="auto"/>
              </w:rPr>
              <w:t>Liens</w:t>
            </w: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89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8960" w:type="dxa"/>
            <w:vAlign w:val="bottom"/>
          </w:tcPr>
          <w:p>
            <w:pPr>
              <w:ind w:left="140"/>
              <w:spacing w:after="0"/>
              <w:rPr>
                <w:sz w:val="20"/>
                <w:szCs w:val="20"/>
                <w:color w:val="auto"/>
              </w:rPr>
            </w:pPr>
            <w:r>
              <w:rPr>
                <w:rFonts w:ascii="Arial" w:cs="Arial" w:eastAsia="Arial" w:hAnsi="Arial"/>
                <w:sz w:val="18"/>
                <w:szCs w:val="18"/>
                <w:color w:val="auto"/>
              </w:rPr>
              <w:t>Fundamental Changes</w:t>
            </w: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8960" w:type="dxa"/>
            <w:vAlign w:val="bottom"/>
          </w:tcPr>
          <w:p>
            <w:pPr>
              <w:ind w:left="140"/>
              <w:spacing w:after="0"/>
              <w:rPr>
                <w:sz w:val="20"/>
                <w:szCs w:val="20"/>
                <w:color w:val="auto"/>
              </w:rPr>
            </w:pPr>
            <w:r>
              <w:rPr>
                <w:rFonts w:ascii="Arial" w:cs="Arial" w:eastAsia="Arial" w:hAnsi="Arial"/>
                <w:sz w:val="18"/>
                <w:szCs w:val="18"/>
                <w:color w:val="auto"/>
              </w:rPr>
              <w:t>Asset Dispositions</w:t>
            </w: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8960" w:type="dxa"/>
            <w:vAlign w:val="bottom"/>
          </w:tcPr>
          <w:p>
            <w:pPr>
              <w:ind w:left="140"/>
              <w:spacing w:after="0"/>
              <w:rPr>
                <w:sz w:val="20"/>
                <w:szCs w:val="20"/>
                <w:color w:val="auto"/>
              </w:rPr>
            </w:pPr>
            <w:r>
              <w:rPr>
                <w:rFonts w:ascii="Arial" w:cs="Arial" w:eastAsia="Arial" w:hAnsi="Arial"/>
                <w:sz w:val="18"/>
                <w:szCs w:val="18"/>
                <w:color w:val="auto"/>
              </w:rPr>
              <w:t>Restricted Payments</w:t>
            </w: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8960" w:type="dxa"/>
            <w:vAlign w:val="bottom"/>
          </w:tcPr>
          <w:p>
            <w:pPr>
              <w:ind w:left="140"/>
              <w:spacing w:after="0"/>
              <w:rPr>
                <w:sz w:val="20"/>
                <w:szCs w:val="20"/>
                <w:color w:val="auto"/>
              </w:rPr>
            </w:pPr>
            <w:r>
              <w:rPr>
                <w:rFonts w:ascii="Arial" w:cs="Arial" w:eastAsia="Arial" w:hAnsi="Arial"/>
                <w:sz w:val="18"/>
                <w:szCs w:val="18"/>
                <w:color w:val="auto"/>
              </w:rPr>
              <w:t>Transactions with Affiliates</w:t>
            </w: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9.8</w:t>
            </w:r>
          </w:p>
        </w:tc>
        <w:tc>
          <w:tcPr>
            <w:tcW w:w="8960" w:type="dxa"/>
            <w:vAlign w:val="bottom"/>
          </w:tcPr>
          <w:p>
            <w:pPr>
              <w:ind w:left="140"/>
              <w:spacing w:after="0"/>
              <w:rPr>
                <w:sz w:val="20"/>
                <w:szCs w:val="20"/>
                <w:color w:val="auto"/>
              </w:rPr>
            </w:pPr>
            <w:r>
              <w:rPr>
                <w:rFonts w:ascii="Arial" w:cs="Arial" w:eastAsia="Arial" w:hAnsi="Arial"/>
                <w:sz w:val="18"/>
                <w:szCs w:val="18"/>
                <w:color w:val="auto"/>
              </w:rPr>
              <w:t>Accounting Changes; Organizational Documents</w:t>
            </w: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9.9</w:t>
            </w:r>
          </w:p>
        </w:tc>
        <w:tc>
          <w:tcPr>
            <w:tcW w:w="8960" w:type="dxa"/>
            <w:vAlign w:val="bottom"/>
          </w:tcPr>
          <w:p>
            <w:pPr>
              <w:ind w:left="140"/>
              <w:spacing w:after="0"/>
              <w:rPr>
                <w:sz w:val="20"/>
                <w:szCs w:val="20"/>
                <w:color w:val="auto"/>
              </w:rPr>
            </w:pPr>
            <w:r>
              <w:rPr>
                <w:rFonts w:ascii="Arial" w:cs="Arial" w:eastAsia="Arial" w:hAnsi="Arial"/>
                <w:sz w:val="18"/>
                <w:szCs w:val="18"/>
                <w:color w:val="auto"/>
              </w:rPr>
              <w:t>Payments and Modifications of Junior Indebtedness</w:t>
            </w: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8960" w:type="dxa"/>
            <w:vAlign w:val="bottom"/>
          </w:tcPr>
          <w:p>
            <w:pPr>
              <w:ind w:left="140"/>
              <w:spacing w:after="0"/>
              <w:rPr>
                <w:sz w:val="20"/>
                <w:szCs w:val="20"/>
                <w:color w:val="auto"/>
              </w:rPr>
            </w:pPr>
            <w:r>
              <w:rPr>
                <w:rFonts w:ascii="Arial" w:cs="Arial" w:eastAsia="Arial" w:hAnsi="Arial"/>
                <w:sz w:val="18"/>
                <w:szCs w:val="18"/>
                <w:color w:val="auto"/>
              </w:rPr>
              <w:t>No Further Negative Pledges; Restrictive Agreements</w:t>
            </w: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8960" w:type="dxa"/>
            <w:vAlign w:val="bottom"/>
          </w:tcPr>
          <w:p>
            <w:pPr>
              <w:ind w:left="140"/>
              <w:spacing w:after="0"/>
              <w:rPr>
                <w:sz w:val="20"/>
                <w:szCs w:val="20"/>
                <w:color w:val="auto"/>
              </w:rPr>
            </w:pPr>
            <w:r>
              <w:rPr>
                <w:rFonts w:ascii="Arial" w:cs="Arial" w:eastAsia="Arial" w:hAnsi="Arial"/>
                <w:sz w:val="18"/>
                <w:szCs w:val="18"/>
                <w:color w:val="auto"/>
              </w:rPr>
              <w:t>Nature of Business</w:t>
            </w: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8960" w:type="dxa"/>
            <w:vAlign w:val="bottom"/>
          </w:tcPr>
          <w:p>
            <w:pPr>
              <w:ind w:left="140"/>
              <w:spacing w:after="0"/>
              <w:rPr>
                <w:sz w:val="20"/>
                <w:szCs w:val="20"/>
                <w:color w:val="auto"/>
              </w:rPr>
            </w:pPr>
            <w:r>
              <w:rPr>
                <w:rFonts w:ascii="Arial" w:cs="Arial" w:eastAsia="Arial" w:hAnsi="Arial"/>
                <w:sz w:val="18"/>
                <w:szCs w:val="18"/>
                <w:color w:val="auto"/>
              </w:rPr>
              <w:t>Sale Leasebacks</w:t>
            </w: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9.13</w:t>
            </w:r>
          </w:p>
        </w:tc>
        <w:tc>
          <w:tcPr>
            <w:tcW w:w="8960" w:type="dxa"/>
            <w:vAlign w:val="bottom"/>
          </w:tcPr>
          <w:p>
            <w:pPr>
              <w:ind w:left="140"/>
              <w:spacing w:after="0"/>
              <w:rPr>
                <w:sz w:val="20"/>
                <w:szCs w:val="20"/>
                <w:color w:val="auto"/>
              </w:rPr>
            </w:pPr>
            <w:r>
              <w:rPr>
                <w:rFonts w:ascii="Arial" w:cs="Arial" w:eastAsia="Arial" w:hAnsi="Arial"/>
                <w:sz w:val="18"/>
                <w:szCs w:val="18"/>
                <w:color w:val="auto"/>
              </w:rPr>
              <w:t>Financial Covenants</w:t>
            </w: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9.14</w:t>
            </w:r>
          </w:p>
        </w:tc>
        <w:tc>
          <w:tcPr>
            <w:tcW w:w="8960" w:type="dxa"/>
            <w:vAlign w:val="bottom"/>
          </w:tcPr>
          <w:p>
            <w:pPr>
              <w:ind w:left="140"/>
              <w:spacing w:after="0"/>
              <w:rPr>
                <w:sz w:val="20"/>
                <w:szCs w:val="20"/>
                <w:color w:val="auto"/>
              </w:rPr>
            </w:pPr>
            <w:r>
              <w:rPr>
                <w:rFonts w:ascii="Arial" w:cs="Arial" w:eastAsia="Arial" w:hAnsi="Arial"/>
                <w:sz w:val="18"/>
                <w:szCs w:val="18"/>
                <w:color w:val="auto"/>
              </w:rPr>
              <w:t>Disposal of Subsidiary Interests</w:t>
            </w: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0560" w:type="dxa"/>
            <w:vAlign w:val="bottom"/>
            <w:gridSpan w:val="2"/>
          </w:tcPr>
          <w:p>
            <w:pPr>
              <w:spacing w:after="0"/>
              <w:rPr>
                <w:sz w:val="20"/>
                <w:szCs w:val="20"/>
                <w:color w:val="auto"/>
              </w:rPr>
            </w:pPr>
            <w:r>
              <w:rPr>
                <w:rFonts w:ascii="Arial" w:cs="Arial" w:eastAsia="Arial" w:hAnsi="Arial"/>
                <w:sz w:val="18"/>
                <w:szCs w:val="18"/>
                <w:color w:val="auto"/>
              </w:rPr>
              <w:t>ARTICLE X DEFAULT AND REMEDIES</w:t>
            </w: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96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8960" w:type="dxa"/>
            <w:vAlign w:val="bottom"/>
          </w:tcPr>
          <w:p>
            <w:pPr>
              <w:ind w:left="140"/>
              <w:spacing w:after="0"/>
              <w:rPr>
                <w:sz w:val="20"/>
                <w:szCs w:val="20"/>
                <w:color w:val="auto"/>
              </w:rPr>
            </w:pPr>
            <w:r>
              <w:rPr>
                <w:rFonts w:ascii="Arial" w:cs="Arial" w:eastAsia="Arial" w:hAnsi="Arial"/>
                <w:sz w:val="18"/>
                <w:szCs w:val="18"/>
                <w:color w:val="auto"/>
              </w:rPr>
              <w:t>Remedies</w:t>
            </w: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8960" w:type="dxa"/>
            <w:vAlign w:val="bottom"/>
          </w:tcPr>
          <w:p>
            <w:pPr>
              <w:ind w:left="140"/>
              <w:spacing w:after="0"/>
              <w:rPr>
                <w:sz w:val="20"/>
                <w:szCs w:val="20"/>
                <w:color w:val="auto"/>
              </w:rPr>
            </w:pPr>
            <w:r>
              <w:rPr>
                <w:rFonts w:ascii="Arial" w:cs="Arial" w:eastAsia="Arial" w:hAnsi="Arial"/>
                <w:sz w:val="18"/>
                <w:szCs w:val="18"/>
                <w:color w:val="auto"/>
              </w:rPr>
              <w:t>Rights and Remedies Cumulative; Non-Waiver; etc</w:t>
            </w: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8960" w:type="dxa"/>
            <w:vAlign w:val="bottom"/>
          </w:tcPr>
          <w:p>
            <w:pPr>
              <w:ind w:left="140"/>
              <w:spacing w:after="0"/>
              <w:rPr>
                <w:sz w:val="20"/>
                <w:szCs w:val="20"/>
                <w:color w:val="auto"/>
              </w:rPr>
            </w:pPr>
            <w:r>
              <w:rPr>
                <w:rFonts w:ascii="Arial" w:cs="Arial" w:eastAsia="Arial" w:hAnsi="Arial"/>
                <w:sz w:val="18"/>
                <w:szCs w:val="18"/>
                <w:color w:val="auto"/>
              </w:rPr>
              <w:t>Crediting of Payments and Proceeds</w:t>
            </w: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8960" w:type="dxa"/>
            <w:vAlign w:val="bottom"/>
          </w:tcPr>
          <w:p>
            <w:pPr>
              <w:ind w:left="140"/>
              <w:spacing w:after="0"/>
              <w:rPr>
                <w:sz w:val="20"/>
                <w:szCs w:val="20"/>
                <w:color w:val="auto"/>
              </w:rPr>
            </w:pPr>
            <w:r>
              <w:rPr>
                <w:rFonts w:ascii="Arial" w:cs="Arial" w:eastAsia="Arial" w:hAnsi="Arial"/>
                <w:sz w:val="18"/>
                <w:szCs w:val="18"/>
                <w:color w:val="auto"/>
              </w:rPr>
              <w:t>Administrative Agent May File Proofs of Claim</w:t>
            </w: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8960" w:type="dxa"/>
            <w:vAlign w:val="bottom"/>
          </w:tcPr>
          <w:p>
            <w:pPr>
              <w:ind w:left="140"/>
              <w:spacing w:after="0"/>
              <w:rPr>
                <w:sz w:val="20"/>
                <w:szCs w:val="20"/>
                <w:color w:val="auto"/>
              </w:rPr>
            </w:pPr>
            <w:r>
              <w:rPr>
                <w:rFonts w:ascii="Arial" w:cs="Arial" w:eastAsia="Arial" w:hAnsi="Arial"/>
                <w:sz w:val="18"/>
                <w:szCs w:val="18"/>
                <w:color w:val="auto"/>
              </w:rPr>
              <w:t>Credit Bidding</w:t>
            </w:r>
          </w:p>
        </w:tc>
        <w:tc>
          <w:tcPr>
            <w:tcW w:w="4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8960" w:type="dxa"/>
            <w:vAlign w:val="bottom"/>
          </w:tcPr>
          <w:p>
            <w:pPr>
              <w:ind w:left="140"/>
              <w:spacing w:after="0"/>
              <w:rPr>
                <w:sz w:val="20"/>
                <w:szCs w:val="20"/>
                <w:color w:val="auto"/>
              </w:rPr>
            </w:pPr>
            <w:r>
              <w:rPr>
                <w:rFonts w:ascii="Arial" w:cs="Arial" w:eastAsia="Arial" w:hAnsi="Arial"/>
                <w:sz w:val="18"/>
                <w:szCs w:val="18"/>
                <w:color w:val="auto"/>
              </w:rPr>
              <w:t>Judgment Currency</w:t>
            </w:r>
          </w:p>
        </w:tc>
        <w:tc>
          <w:tcPr>
            <w:tcW w:w="4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64"/>
        </w:trPr>
        <w:tc>
          <w:tcPr>
            <w:tcW w:w="1600" w:type="dxa"/>
            <w:vAlign w:val="bottom"/>
          </w:tcPr>
          <w:p>
            <w:pPr>
              <w:spacing w:after="0"/>
              <w:rPr>
                <w:sz w:val="24"/>
                <w:szCs w:val="24"/>
                <w:color w:val="auto"/>
              </w:rPr>
            </w:pPr>
          </w:p>
        </w:tc>
        <w:tc>
          <w:tcPr>
            <w:tcW w:w="8960" w:type="dxa"/>
            <w:vAlign w:val="bottom"/>
          </w:tcPr>
          <w:p>
            <w:pPr>
              <w:ind w:left="3840"/>
              <w:spacing w:after="0"/>
              <w:rPr>
                <w:sz w:val="20"/>
                <w:szCs w:val="20"/>
                <w:color w:val="auto"/>
              </w:rPr>
            </w:pPr>
            <w:r>
              <w:rPr>
                <w:rFonts w:ascii="Arial" w:cs="Arial" w:eastAsia="Arial" w:hAnsi="Arial"/>
                <w:sz w:val="18"/>
                <w:szCs w:val="18"/>
                <w:color w:val="auto"/>
              </w:rPr>
              <w:t>iv</w:t>
            </w:r>
          </w:p>
        </w:tc>
        <w:tc>
          <w:tcPr>
            <w:tcW w:w="4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660" w:type="dxa"/>
            <w:vAlign w:val="bottom"/>
          </w:tcPr>
          <w:p>
            <w:pPr>
              <w:spacing w:after="0"/>
              <w:rPr>
                <w:sz w:val="19"/>
                <w:szCs w:val="19"/>
                <w:color w:val="auto"/>
              </w:rPr>
            </w:pPr>
          </w:p>
        </w:tc>
        <w:tc>
          <w:tcPr>
            <w:tcW w:w="7160" w:type="dxa"/>
            <w:vAlign w:val="bottom"/>
          </w:tcPr>
          <w:p>
            <w:pPr>
              <w:jc w:val="center"/>
              <w:ind w:left="430"/>
              <w:spacing w:after="0"/>
              <w:rPr>
                <w:sz w:val="20"/>
                <w:szCs w:val="20"/>
                <w:color w:val="auto"/>
              </w:rPr>
            </w:pPr>
            <w:r>
              <w:rPr>
                <w:rFonts w:ascii="Arial" w:cs="Arial" w:eastAsia="Arial" w:hAnsi="Arial"/>
                <w:sz w:val="18"/>
                <w:szCs w:val="18"/>
                <w:b w:val="1"/>
                <w:bCs w:val="1"/>
                <w:color w:val="auto"/>
                <w:w w:val="98"/>
              </w:rPr>
              <w:t>TABLE OF CONTENTS</w:t>
            </w:r>
          </w:p>
        </w:tc>
        <w:tc>
          <w:tcPr>
            <w:tcW w:w="2140" w:type="dxa"/>
            <w:vAlign w:val="bottom"/>
          </w:tcPr>
          <w:p>
            <w:pPr>
              <w:spacing w:after="0"/>
              <w:rPr>
                <w:sz w:val="19"/>
                <w:szCs w:val="19"/>
                <w:color w:val="auto"/>
              </w:rPr>
            </w:pPr>
          </w:p>
        </w:tc>
      </w:tr>
      <w:tr>
        <w:trPr>
          <w:trHeight w:val="230"/>
        </w:trPr>
        <w:tc>
          <w:tcPr>
            <w:tcW w:w="1660" w:type="dxa"/>
            <w:vAlign w:val="bottom"/>
          </w:tcPr>
          <w:p>
            <w:pPr>
              <w:spacing w:after="0"/>
              <w:rPr>
                <w:sz w:val="20"/>
                <w:szCs w:val="20"/>
                <w:color w:val="auto"/>
              </w:rPr>
            </w:pPr>
          </w:p>
        </w:tc>
        <w:tc>
          <w:tcPr>
            <w:tcW w:w="7160" w:type="dxa"/>
            <w:vAlign w:val="bottom"/>
          </w:tcPr>
          <w:p>
            <w:pPr>
              <w:jc w:val="center"/>
              <w:ind w:left="430"/>
              <w:spacing w:after="0"/>
              <w:rPr>
                <w:sz w:val="20"/>
                <w:szCs w:val="20"/>
                <w:color w:val="auto"/>
              </w:rPr>
            </w:pPr>
            <w:r>
              <w:rPr>
                <w:rFonts w:ascii="Arial" w:cs="Arial" w:eastAsia="Arial" w:hAnsi="Arial"/>
                <w:sz w:val="18"/>
                <w:szCs w:val="18"/>
                <w:color w:val="auto"/>
                <w:w w:val="93"/>
              </w:rPr>
              <w:t>(continued)</w:t>
            </w:r>
          </w:p>
        </w:tc>
        <w:tc>
          <w:tcPr>
            <w:tcW w:w="2140" w:type="dxa"/>
            <w:vAlign w:val="bottom"/>
          </w:tcPr>
          <w:p>
            <w:pPr>
              <w:spacing w:after="0"/>
              <w:rPr>
                <w:sz w:val="20"/>
                <w:szCs w:val="20"/>
                <w:color w:val="auto"/>
              </w:rPr>
            </w:pPr>
          </w:p>
        </w:tc>
      </w:tr>
      <w:tr>
        <w:trPr>
          <w:trHeight w:val="283"/>
        </w:trPr>
        <w:tc>
          <w:tcPr>
            <w:tcW w:w="16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ARTICLE XI THE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7160" w:type="dxa"/>
            <w:vAlign w:val="bottom"/>
          </w:tcPr>
          <w:p>
            <w:pPr>
              <w:ind w:left="80"/>
              <w:spacing w:after="0"/>
              <w:rPr>
                <w:sz w:val="20"/>
                <w:szCs w:val="20"/>
                <w:color w:val="auto"/>
              </w:rPr>
            </w:pPr>
            <w:r>
              <w:rPr>
                <w:rFonts w:ascii="Arial" w:cs="Arial" w:eastAsia="Arial" w:hAnsi="Arial"/>
                <w:sz w:val="18"/>
                <w:szCs w:val="18"/>
                <w:color w:val="auto"/>
              </w:rPr>
              <w:t>Appointment and Authority</w:t>
            </w:r>
          </w:p>
        </w:tc>
        <w:tc>
          <w:tcPr>
            <w:tcW w:w="2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7160" w:type="dxa"/>
            <w:vAlign w:val="bottom"/>
          </w:tcPr>
          <w:p>
            <w:pPr>
              <w:ind w:left="80"/>
              <w:spacing w:after="0"/>
              <w:rPr>
                <w:sz w:val="20"/>
                <w:szCs w:val="20"/>
                <w:color w:val="auto"/>
              </w:rPr>
            </w:pPr>
            <w:r>
              <w:rPr>
                <w:rFonts w:ascii="Arial" w:cs="Arial" w:eastAsia="Arial" w:hAnsi="Arial"/>
                <w:sz w:val="18"/>
                <w:szCs w:val="18"/>
                <w:color w:val="auto"/>
              </w:rPr>
              <w:t>Rights as a Lender</w:t>
            </w:r>
          </w:p>
        </w:tc>
        <w:tc>
          <w:tcPr>
            <w:tcW w:w="2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7160" w:type="dxa"/>
            <w:vAlign w:val="bottom"/>
          </w:tcPr>
          <w:p>
            <w:pPr>
              <w:ind w:left="80"/>
              <w:spacing w:after="0"/>
              <w:rPr>
                <w:sz w:val="20"/>
                <w:szCs w:val="20"/>
                <w:color w:val="auto"/>
              </w:rPr>
            </w:pPr>
            <w:r>
              <w:rPr>
                <w:rFonts w:ascii="Arial" w:cs="Arial" w:eastAsia="Arial" w:hAnsi="Arial"/>
                <w:sz w:val="18"/>
                <w:szCs w:val="18"/>
                <w:color w:val="auto"/>
              </w:rPr>
              <w:t>Exculpatory Provisions</w:t>
            </w:r>
          </w:p>
        </w:tc>
        <w:tc>
          <w:tcPr>
            <w:tcW w:w="21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7160" w:type="dxa"/>
            <w:vAlign w:val="bottom"/>
          </w:tcPr>
          <w:p>
            <w:pPr>
              <w:ind w:left="80"/>
              <w:spacing w:after="0"/>
              <w:rPr>
                <w:sz w:val="20"/>
                <w:szCs w:val="20"/>
                <w:color w:val="auto"/>
              </w:rPr>
            </w:pPr>
            <w:r>
              <w:rPr>
                <w:rFonts w:ascii="Arial" w:cs="Arial" w:eastAsia="Arial" w:hAnsi="Arial"/>
                <w:sz w:val="18"/>
                <w:szCs w:val="18"/>
                <w:color w:val="auto"/>
              </w:rPr>
              <w:t>Reliance by the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7160" w:type="dxa"/>
            <w:vAlign w:val="bottom"/>
          </w:tcPr>
          <w:p>
            <w:pPr>
              <w:ind w:left="80"/>
              <w:spacing w:after="0"/>
              <w:rPr>
                <w:sz w:val="20"/>
                <w:szCs w:val="20"/>
                <w:color w:val="auto"/>
              </w:rPr>
            </w:pPr>
            <w:r>
              <w:rPr>
                <w:rFonts w:ascii="Arial" w:cs="Arial" w:eastAsia="Arial" w:hAnsi="Arial"/>
                <w:sz w:val="18"/>
                <w:szCs w:val="18"/>
                <w:color w:val="auto"/>
              </w:rPr>
              <w:t>Delegation of Duties</w:t>
            </w:r>
          </w:p>
        </w:tc>
        <w:tc>
          <w:tcPr>
            <w:tcW w:w="2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7160" w:type="dxa"/>
            <w:vAlign w:val="bottom"/>
          </w:tcPr>
          <w:p>
            <w:pPr>
              <w:ind w:left="80"/>
              <w:spacing w:after="0"/>
              <w:rPr>
                <w:sz w:val="20"/>
                <w:szCs w:val="20"/>
                <w:color w:val="auto"/>
              </w:rPr>
            </w:pPr>
            <w:r>
              <w:rPr>
                <w:rFonts w:ascii="Arial" w:cs="Arial" w:eastAsia="Arial" w:hAnsi="Arial"/>
                <w:sz w:val="18"/>
                <w:szCs w:val="18"/>
                <w:color w:val="auto"/>
              </w:rPr>
              <w:t>Resignation of Administrative Agent</w:t>
            </w:r>
          </w:p>
        </w:tc>
        <w:tc>
          <w:tcPr>
            <w:tcW w:w="2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7160" w:type="dxa"/>
            <w:vAlign w:val="bottom"/>
          </w:tcPr>
          <w:p>
            <w:pPr>
              <w:ind w:left="80"/>
              <w:spacing w:after="0"/>
              <w:rPr>
                <w:sz w:val="20"/>
                <w:szCs w:val="20"/>
                <w:color w:val="auto"/>
              </w:rPr>
            </w:pPr>
            <w:r>
              <w:rPr>
                <w:rFonts w:ascii="Arial" w:cs="Arial" w:eastAsia="Arial" w:hAnsi="Arial"/>
                <w:sz w:val="18"/>
                <w:szCs w:val="18"/>
                <w:color w:val="auto"/>
              </w:rPr>
              <w:t>Non-Reliance on Administrative Agent and Other Lenders</w:t>
            </w:r>
          </w:p>
        </w:tc>
        <w:tc>
          <w:tcPr>
            <w:tcW w:w="21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7160" w:type="dxa"/>
            <w:vAlign w:val="bottom"/>
          </w:tcPr>
          <w:p>
            <w:pPr>
              <w:ind w:left="80"/>
              <w:spacing w:after="0"/>
              <w:rPr>
                <w:sz w:val="20"/>
                <w:szCs w:val="20"/>
                <w:color w:val="auto"/>
              </w:rPr>
            </w:pPr>
            <w:r>
              <w:rPr>
                <w:rFonts w:ascii="Arial" w:cs="Arial" w:eastAsia="Arial" w:hAnsi="Arial"/>
                <w:sz w:val="18"/>
                <w:szCs w:val="18"/>
                <w:color w:val="auto"/>
              </w:rPr>
              <w:t>No Other Duties, Etc</w:t>
            </w:r>
          </w:p>
        </w:tc>
        <w:tc>
          <w:tcPr>
            <w:tcW w:w="21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11.9</w:t>
            </w:r>
          </w:p>
        </w:tc>
        <w:tc>
          <w:tcPr>
            <w:tcW w:w="7160" w:type="dxa"/>
            <w:vAlign w:val="bottom"/>
          </w:tcPr>
          <w:p>
            <w:pPr>
              <w:ind w:left="80"/>
              <w:spacing w:after="0"/>
              <w:rPr>
                <w:sz w:val="20"/>
                <w:szCs w:val="20"/>
                <w:color w:val="auto"/>
              </w:rPr>
            </w:pPr>
            <w:r>
              <w:rPr>
                <w:rFonts w:ascii="Arial" w:cs="Arial" w:eastAsia="Arial" w:hAnsi="Arial"/>
                <w:sz w:val="18"/>
                <w:szCs w:val="18"/>
                <w:color w:val="auto"/>
              </w:rPr>
              <w:t>Collateral and Guaranty Matters</w:t>
            </w:r>
          </w:p>
        </w:tc>
        <w:tc>
          <w:tcPr>
            <w:tcW w:w="21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11.10</w:t>
            </w:r>
          </w:p>
        </w:tc>
        <w:tc>
          <w:tcPr>
            <w:tcW w:w="7160" w:type="dxa"/>
            <w:vAlign w:val="bottom"/>
          </w:tcPr>
          <w:p>
            <w:pPr>
              <w:ind w:left="80"/>
              <w:spacing w:after="0"/>
              <w:rPr>
                <w:sz w:val="20"/>
                <w:szCs w:val="20"/>
                <w:color w:val="auto"/>
              </w:rPr>
            </w:pPr>
            <w:r>
              <w:rPr>
                <w:rFonts w:ascii="Arial" w:cs="Arial" w:eastAsia="Arial" w:hAnsi="Arial"/>
                <w:sz w:val="18"/>
                <w:szCs w:val="18"/>
                <w:color w:val="auto"/>
              </w:rPr>
              <w:t>Secured Hedge Agreements and Secured Cash Management Agreements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11.11</w:t>
            </w:r>
          </w:p>
        </w:tc>
        <w:tc>
          <w:tcPr>
            <w:tcW w:w="7160" w:type="dxa"/>
            <w:vAlign w:val="bottom"/>
          </w:tcPr>
          <w:p>
            <w:pPr>
              <w:ind w:left="80"/>
              <w:spacing w:after="0"/>
              <w:rPr>
                <w:sz w:val="20"/>
                <w:szCs w:val="20"/>
                <w:color w:val="auto"/>
              </w:rPr>
            </w:pPr>
            <w:r>
              <w:rPr>
                <w:rFonts w:ascii="Arial" w:cs="Arial" w:eastAsia="Arial" w:hAnsi="Arial"/>
                <w:sz w:val="18"/>
                <w:szCs w:val="18"/>
                <w:color w:val="auto"/>
              </w:rPr>
              <w:t>Erroneous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21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7160" w:type="dxa"/>
            <w:vAlign w:val="bottom"/>
          </w:tcPr>
          <w:p>
            <w:pPr>
              <w:ind w:left="80"/>
              <w:spacing w:after="0"/>
              <w:rPr>
                <w:sz w:val="20"/>
                <w:szCs w:val="20"/>
                <w:color w:val="auto"/>
              </w:rPr>
            </w:pPr>
            <w:r>
              <w:rPr>
                <w:rFonts w:ascii="Arial" w:cs="Arial" w:eastAsia="Arial" w:hAnsi="Arial"/>
                <w:sz w:val="18"/>
                <w:szCs w:val="18"/>
                <w:color w:val="auto"/>
              </w:rPr>
              <w:t>Notices</w:t>
            </w:r>
          </w:p>
        </w:tc>
        <w:tc>
          <w:tcPr>
            <w:tcW w:w="21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7160" w:type="dxa"/>
            <w:vAlign w:val="bottom"/>
          </w:tcPr>
          <w:p>
            <w:pPr>
              <w:ind w:left="80"/>
              <w:spacing w:after="0"/>
              <w:rPr>
                <w:sz w:val="20"/>
                <w:szCs w:val="20"/>
                <w:color w:val="auto"/>
              </w:rPr>
            </w:pPr>
            <w:r>
              <w:rPr>
                <w:rFonts w:ascii="Arial" w:cs="Arial" w:eastAsia="Arial" w:hAnsi="Arial"/>
                <w:sz w:val="18"/>
                <w:szCs w:val="18"/>
                <w:color w:val="auto"/>
              </w:rPr>
              <w:t>Amendments, Waivers and Consents</w:t>
            </w:r>
          </w:p>
        </w:tc>
        <w:tc>
          <w:tcPr>
            <w:tcW w:w="21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12.3</w:t>
            </w:r>
          </w:p>
        </w:tc>
        <w:tc>
          <w:tcPr>
            <w:tcW w:w="7160" w:type="dxa"/>
            <w:vAlign w:val="bottom"/>
          </w:tcPr>
          <w:p>
            <w:pPr>
              <w:ind w:left="80"/>
              <w:spacing w:after="0"/>
              <w:rPr>
                <w:sz w:val="20"/>
                <w:szCs w:val="20"/>
                <w:color w:val="auto"/>
              </w:rPr>
            </w:pPr>
            <w:r>
              <w:rPr>
                <w:rFonts w:ascii="Arial" w:cs="Arial" w:eastAsia="Arial" w:hAnsi="Arial"/>
                <w:sz w:val="18"/>
                <w:szCs w:val="18"/>
                <w:color w:val="auto"/>
              </w:rPr>
              <w:t>Expenses; Indemnity</w:t>
            </w:r>
          </w:p>
        </w:tc>
        <w:tc>
          <w:tcPr>
            <w:tcW w:w="21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12.4</w:t>
            </w:r>
          </w:p>
        </w:tc>
        <w:tc>
          <w:tcPr>
            <w:tcW w:w="7160" w:type="dxa"/>
            <w:vAlign w:val="bottom"/>
          </w:tcPr>
          <w:p>
            <w:pPr>
              <w:ind w:left="80"/>
              <w:spacing w:after="0"/>
              <w:rPr>
                <w:sz w:val="20"/>
                <w:szCs w:val="20"/>
                <w:color w:val="auto"/>
              </w:rPr>
            </w:pPr>
            <w:r>
              <w:rPr>
                <w:rFonts w:ascii="Arial" w:cs="Arial" w:eastAsia="Arial" w:hAnsi="Arial"/>
                <w:sz w:val="18"/>
                <w:szCs w:val="18"/>
                <w:color w:val="auto"/>
              </w:rPr>
              <w:t>Right of Setoff</w:t>
            </w:r>
          </w:p>
        </w:tc>
        <w:tc>
          <w:tcPr>
            <w:tcW w:w="21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12.5</w:t>
            </w:r>
          </w:p>
        </w:tc>
        <w:tc>
          <w:tcPr>
            <w:tcW w:w="7160" w:type="dxa"/>
            <w:vAlign w:val="bottom"/>
          </w:tcPr>
          <w:p>
            <w:pPr>
              <w:ind w:left="80"/>
              <w:spacing w:after="0"/>
              <w:rPr>
                <w:sz w:val="20"/>
                <w:szCs w:val="20"/>
                <w:color w:val="auto"/>
              </w:rPr>
            </w:pPr>
            <w:r>
              <w:rPr>
                <w:rFonts w:ascii="Arial" w:cs="Arial" w:eastAsia="Arial" w:hAnsi="Arial"/>
                <w:sz w:val="18"/>
                <w:szCs w:val="18"/>
                <w:color w:val="auto"/>
              </w:rPr>
              <w:t>Governing Law; Jurisdiction, Etc</w:t>
            </w:r>
          </w:p>
        </w:tc>
        <w:tc>
          <w:tcPr>
            <w:tcW w:w="21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12.6</w:t>
            </w:r>
          </w:p>
        </w:tc>
        <w:tc>
          <w:tcPr>
            <w:tcW w:w="7160" w:type="dxa"/>
            <w:vAlign w:val="bottom"/>
          </w:tcPr>
          <w:p>
            <w:pPr>
              <w:ind w:left="80"/>
              <w:spacing w:after="0"/>
              <w:rPr>
                <w:sz w:val="20"/>
                <w:szCs w:val="20"/>
                <w:color w:val="auto"/>
              </w:rPr>
            </w:pPr>
            <w:r>
              <w:rPr>
                <w:rFonts w:ascii="Arial" w:cs="Arial" w:eastAsia="Arial" w:hAnsi="Arial"/>
                <w:sz w:val="18"/>
                <w:szCs w:val="18"/>
                <w:color w:val="auto"/>
              </w:rPr>
              <w:t>Waiver of Jury Trial</w:t>
            </w:r>
          </w:p>
        </w:tc>
        <w:tc>
          <w:tcPr>
            <w:tcW w:w="21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12.7</w:t>
            </w:r>
          </w:p>
        </w:tc>
        <w:tc>
          <w:tcPr>
            <w:tcW w:w="7160" w:type="dxa"/>
            <w:vAlign w:val="bottom"/>
          </w:tcPr>
          <w:p>
            <w:pPr>
              <w:ind w:left="80"/>
              <w:spacing w:after="0"/>
              <w:rPr>
                <w:sz w:val="20"/>
                <w:szCs w:val="20"/>
                <w:color w:val="auto"/>
              </w:rPr>
            </w:pPr>
            <w:r>
              <w:rPr>
                <w:rFonts w:ascii="Arial" w:cs="Arial" w:eastAsia="Arial" w:hAnsi="Arial"/>
                <w:sz w:val="18"/>
                <w:szCs w:val="18"/>
                <w:color w:val="auto"/>
              </w:rPr>
              <w:t>Reversal of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12.8</w:t>
            </w:r>
          </w:p>
        </w:tc>
        <w:tc>
          <w:tcPr>
            <w:tcW w:w="7160" w:type="dxa"/>
            <w:vAlign w:val="bottom"/>
          </w:tcPr>
          <w:p>
            <w:pPr>
              <w:ind w:left="80"/>
              <w:spacing w:after="0"/>
              <w:rPr>
                <w:sz w:val="20"/>
                <w:szCs w:val="20"/>
                <w:color w:val="auto"/>
              </w:rPr>
            </w:pPr>
            <w:r>
              <w:rPr>
                <w:rFonts w:ascii="Arial" w:cs="Arial" w:eastAsia="Arial" w:hAnsi="Arial"/>
                <w:sz w:val="18"/>
                <w:szCs w:val="18"/>
                <w:color w:val="auto"/>
              </w:rPr>
              <w:t>Injunctive Relief</w:t>
            </w:r>
          </w:p>
        </w:tc>
        <w:tc>
          <w:tcPr>
            <w:tcW w:w="21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12.9</w:t>
            </w:r>
          </w:p>
        </w:tc>
        <w:tc>
          <w:tcPr>
            <w:tcW w:w="7160" w:type="dxa"/>
            <w:vAlign w:val="bottom"/>
          </w:tcPr>
          <w:p>
            <w:pPr>
              <w:ind w:left="80"/>
              <w:spacing w:after="0"/>
              <w:rPr>
                <w:sz w:val="20"/>
                <w:szCs w:val="20"/>
                <w:color w:val="auto"/>
              </w:rPr>
            </w:pPr>
            <w:r>
              <w:rPr>
                <w:rFonts w:ascii="Arial" w:cs="Arial" w:eastAsia="Arial" w:hAnsi="Arial"/>
                <w:sz w:val="18"/>
                <w:szCs w:val="18"/>
                <w:color w:val="auto"/>
              </w:rPr>
              <w:t>Successors and Assigns; Participations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12.10</w:t>
            </w:r>
          </w:p>
        </w:tc>
        <w:tc>
          <w:tcPr>
            <w:tcW w:w="7160" w:type="dxa"/>
            <w:vAlign w:val="bottom"/>
          </w:tcPr>
          <w:p>
            <w:pPr>
              <w:ind w:left="80"/>
              <w:spacing w:after="0"/>
              <w:rPr>
                <w:sz w:val="20"/>
                <w:szCs w:val="20"/>
                <w:color w:val="auto"/>
              </w:rPr>
            </w:pPr>
            <w:r>
              <w:rPr>
                <w:rFonts w:ascii="Arial" w:cs="Arial" w:eastAsia="Arial" w:hAnsi="Arial"/>
                <w:sz w:val="18"/>
                <w:szCs w:val="18"/>
                <w:color w:val="auto"/>
              </w:rPr>
              <w:t>Treatment of Certain Information; Confidentiality</w:t>
            </w:r>
          </w:p>
        </w:tc>
        <w:tc>
          <w:tcPr>
            <w:tcW w:w="21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12.11</w:t>
            </w:r>
          </w:p>
        </w:tc>
        <w:tc>
          <w:tcPr>
            <w:tcW w:w="7160" w:type="dxa"/>
            <w:vAlign w:val="bottom"/>
          </w:tcPr>
          <w:p>
            <w:pPr>
              <w:ind w:left="80"/>
              <w:spacing w:after="0"/>
              <w:rPr>
                <w:sz w:val="20"/>
                <w:szCs w:val="20"/>
                <w:color w:val="auto"/>
              </w:rPr>
            </w:pPr>
            <w:r>
              <w:rPr>
                <w:rFonts w:ascii="Arial" w:cs="Arial" w:eastAsia="Arial" w:hAnsi="Arial"/>
                <w:sz w:val="18"/>
                <w:szCs w:val="18"/>
                <w:color w:val="auto"/>
              </w:rPr>
              <w:t>Performance of Duties</w:t>
            </w:r>
          </w:p>
        </w:tc>
        <w:tc>
          <w:tcPr>
            <w:tcW w:w="21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12.12</w:t>
            </w:r>
          </w:p>
        </w:tc>
        <w:tc>
          <w:tcPr>
            <w:tcW w:w="7160" w:type="dxa"/>
            <w:vAlign w:val="bottom"/>
          </w:tcPr>
          <w:p>
            <w:pPr>
              <w:ind w:left="80"/>
              <w:spacing w:after="0"/>
              <w:rPr>
                <w:sz w:val="20"/>
                <w:szCs w:val="20"/>
                <w:color w:val="auto"/>
              </w:rPr>
            </w:pPr>
            <w:r>
              <w:rPr>
                <w:rFonts w:ascii="Arial" w:cs="Arial" w:eastAsia="Arial" w:hAnsi="Arial"/>
                <w:sz w:val="18"/>
                <w:szCs w:val="18"/>
                <w:color w:val="auto"/>
              </w:rPr>
              <w:t>All Powers Coupled with Interest</w:t>
            </w:r>
          </w:p>
        </w:tc>
        <w:tc>
          <w:tcPr>
            <w:tcW w:w="21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12.13</w:t>
            </w:r>
          </w:p>
        </w:tc>
        <w:tc>
          <w:tcPr>
            <w:tcW w:w="7160" w:type="dxa"/>
            <w:vAlign w:val="bottom"/>
          </w:tcPr>
          <w:p>
            <w:pPr>
              <w:ind w:left="80"/>
              <w:spacing w:after="0"/>
              <w:rPr>
                <w:sz w:val="20"/>
                <w:szCs w:val="20"/>
                <w:color w:val="auto"/>
              </w:rPr>
            </w:pPr>
            <w:r>
              <w:rPr>
                <w:rFonts w:ascii="Arial" w:cs="Arial" w:eastAsia="Arial" w:hAnsi="Arial"/>
                <w:sz w:val="18"/>
                <w:szCs w:val="18"/>
                <w:color w:val="auto"/>
              </w:rPr>
              <w:t>Survival</w:t>
            </w:r>
          </w:p>
        </w:tc>
        <w:tc>
          <w:tcPr>
            <w:tcW w:w="21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12.14</w:t>
            </w:r>
          </w:p>
        </w:tc>
        <w:tc>
          <w:tcPr>
            <w:tcW w:w="7160" w:type="dxa"/>
            <w:vAlign w:val="bottom"/>
          </w:tcPr>
          <w:p>
            <w:pPr>
              <w:ind w:left="80"/>
              <w:spacing w:after="0"/>
              <w:rPr>
                <w:sz w:val="20"/>
                <w:szCs w:val="20"/>
                <w:color w:val="auto"/>
              </w:rPr>
            </w:pPr>
            <w:r>
              <w:rPr>
                <w:rFonts w:ascii="Arial" w:cs="Arial" w:eastAsia="Arial" w:hAnsi="Arial"/>
                <w:sz w:val="18"/>
                <w:szCs w:val="18"/>
                <w:color w:val="auto"/>
              </w:rPr>
              <w:t>Titles and Captions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12.15</w:t>
            </w:r>
          </w:p>
        </w:tc>
        <w:tc>
          <w:tcPr>
            <w:tcW w:w="7160" w:type="dxa"/>
            <w:vAlign w:val="bottom"/>
          </w:tcPr>
          <w:p>
            <w:pPr>
              <w:ind w:left="80"/>
              <w:spacing w:after="0"/>
              <w:rPr>
                <w:sz w:val="20"/>
                <w:szCs w:val="20"/>
                <w:color w:val="auto"/>
              </w:rPr>
            </w:pPr>
            <w:r>
              <w:rPr>
                <w:rFonts w:ascii="Arial" w:cs="Arial" w:eastAsia="Arial" w:hAnsi="Arial"/>
                <w:sz w:val="18"/>
                <w:szCs w:val="18"/>
                <w:color w:val="auto"/>
              </w:rPr>
              <w:t>Severability of Provisions</w:t>
            </w:r>
          </w:p>
        </w:tc>
        <w:tc>
          <w:tcPr>
            <w:tcW w:w="21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12.16</w:t>
            </w:r>
          </w:p>
        </w:tc>
        <w:tc>
          <w:tcPr>
            <w:tcW w:w="7160" w:type="dxa"/>
            <w:vAlign w:val="bottom"/>
          </w:tcPr>
          <w:p>
            <w:pPr>
              <w:ind w:left="80"/>
              <w:spacing w:after="0"/>
              <w:rPr>
                <w:sz w:val="20"/>
                <w:szCs w:val="20"/>
                <w:color w:val="auto"/>
              </w:rPr>
            </w:pPr>
            <w:r>
              <w:rPr>
                <w:rFonts w:ascii="Arial" w:cs="Arial" w:eastAsia="Arial" w:hAnsi="Arial"/>
                <w:sz w:val="18"/>
                <w:szCs w:val="18"/>
                <w:color w:val="auto"/>
              </w:rPr>
              <w:t>Counterparts; Integration; Effectiveness; Electronic Execution</w:t>
            </w:r>
          </w:p>
        </w:tc>
        <w:tc>
          <w:tcPr>
            <w:tcW w:w="21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12.17</w:t>
            </w:r>
          </w:p>
        </w:tc>
        <w:tc>
          <w:tcPr>
            <w:tcW w:w="7160" w:type="dxa"/>
            <w:vAlign w:val="bottom"/>
          </w:tcPr>
          <w:p>
            <w:pPr>
              <w:ind w:left="80"/>
              <w:spacing w:after="0"/>
              <w:rPr>
                <w:sz w:val="20"/>
                <w:szCs w:val="20"/>
                <w:color w:val="auto"/>
              </w:rPr>
            </w:pPr>
            <w:r>
              <w:rPr>
                <w:rFonts w:ascii="Arial" w:cs="Arial" w:eastAsia="Arial" w:hAnsi="Arial"/>
                <w:sz w:val="18"/>
                <w:szCs w:val="18"/>
                <w:color w:val="auto"/>
              </w:rPr>
              <w:t>Term of Agreement</w:t>
            </w:r>
          </w:p>
        </w:tc>
        <w:tc>
          <w:tcPr>
            <w:tcW w:w="21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w w:val="98"/>
              </w:rPr>
              <w:t>SECTION 12.18</w:t>
            </w:r>
          </w:p>
        </w:tc>
        <w:tc>
          <w:tcPr>
            <w:tcW w:w="7160" w:type="dxa"/>
            <w:vAlign w:val="bottom"/>
          </w:tcPr>
          <w:p>
            <w:pPr>
              <w:ind w:left="80"/>
              <w:spacing w:after="0"/>
              <w:rPr>
                <w:sz w:val="20"/>
                <w:szCs w:val="20"/>
                <w:color w:val="auto"/>
              </w:rPr>
            </w:pPr>
            <w:r>
              <w:rPr>
                <w:rFonts w:ascii="Arial" w:cs="Arial" w:eastAsia="Arial" w:hAnsi="Arial"/>
                <w:sz w:val="18"/>
                <w:szCs w:val="18"/>
                <w:color w:val="auto"/>
              </w:rPr>
              <w:t>USA PATRIOT Act; Anti-Money Laundering Laws</w:t>
            </w:r>
          </w:p>
        </w:tc>
        <w:tc>
          <w:tcPr>
            <w:tcW w:w="21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64"/>
        </w:trPr>
        <w:tc>
          <w:tcPr>
            <w:tcW w:w="1660" w:type="dxa"/>
            <w:vAlign w:val="bottom"/>
          </w:tcPr>
          <w:p>
            <w:pPr>
              <w:spacing w:after="0"/>
              <w:rPr>
                <w:sz w:val="24"/>
                <w:szCs w:val="24"/>
                <w:color w:val="auto"/>
              </w:rPr>
            </w:pPr>
          </w:p>
        </w:tc>
        <w:tc>
          <w:tcPr>
            <w:tcW w:w="7160" w:type="dxa"/>
            <w:vAlign w:val="bottom"/>
          </w:tcPr>
          <w:p>
            <w:pPr>
              <w:jc w:val="center"/>
              <w:ind w:left="430"/>
              <w:spacing w:after="0"/>
              <w:rPr>
                <w:sz w:val="20"/>
                <w:szCs w:val="20"/>
                <w:color w:val="auto"/>
              </w:rPr>
            </w:pPr>
            <w:r>
              <w:rPr>
                <w:rFonts w:ascii="Arial" w:cs="Arial" w:eastAsia="Arial" w:hAnsi="Arial"/>
                <w:sz w:val="18"/>
                <w:szCs w:val="18"/>
                <w:color w:val="auto"/>
                <w:w w:val="88"/>
              </w:rPr>
              <w:t>v</w:t>
            </w:r>
          </w:p>
        </w:tc>
        <w:tc>
          <w:tcPr>
            <w:tcW w:w="21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1" w:name="page12"/>
    <w:bookmarkEnd w:id="11"/>
    <w:p>
      <w:pPr>
        <w:jc w:val="center"/>
        <w:ind w:right="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SECTION 12.19  Independent Effect of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12.20  No Advisory or Fiduciary Responsibility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SECTION 12.21  Inconsistencies with Other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12.22</w:t>
            </w:r>
          </w:p>
        </w:tc>
        <w:tc>
          <w:tcPr>
            <w:tcW w:w="7260" w:type="dxa"/>
            <w:vAlign w:val="bottom"/>
          </w:tcPr>
          <w:p>
            <w:pPr>
              <w:ind w:left="8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12.23</w:t>
            </w:r>
          </w:p>
        </w:tc>
        <w:tc>
          <w:tcPr>
            <w:tcW w:w="7260" w:type="dxa"/>
            <w:vAlign w:val="bottom"/>
          </w:tcPr>
          <w:p>
            <w:pPr>
              <w:ind w:left="80"/>
              <w:spacing w:after="0"/>
              <w:rPr>
                <w:sz w:val="20"/>
                <w:szCs w:val="20"/>
                <w:color w:val="auto"/>
              </w:rPr>
            </w:pPr>
            <w:r>
              <w:rPr>
                <w:rFonts w:ascii="Arial" w:cs="Arial" w:eastAsia="Arial" w:hAnsi="Arial"/>
                <w:sz w:val="18"/>
                <w:szCs w:val="18"/>
                <w:color w:val="auto"/>
              </w:rPr>
              <w:t>Certain ERISA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12.24</w:t>
            </w:r>
          </w:p>
        </w:tc>
        <w:tc>
          <w:tcPr>
            <w:tcW w:w="7260" w:type="dxa"/>
            <w:vAlign w:val="bottom"/>
          </w:tcPr>
          <w:p>
            <w:pPr>
              <w:ind w:left="80"/>
              <w:spacing w:after="0"/>
              <w:rPr>
                <w:sz w:val="20"/>
                <w:szCs w:val="20"/>
                <w:color w:val="auto"/>
              </w:rPr>
            </w:pPr>
            <w:r>
              <w:rPr>
                <w:rFonts w:ascii="Arial" w:cs="Arial" w:eastAsia="Arial" w:hAnsi="Arial"/>
                <w:sz w:val="18"/>
                <w:szCs w:val="18"/>
                <w:color w:val="auto"/>
              </w:rPr>
              <w:t>Acknowledgement Regarding Any Supported QFCs</w:t>
            </w:r>
          </w:p>
        </w:tc>
        <w:tc>
          <w:tcPr>
            <w:tcW w:w="20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8"/>
              </w:rPr>
              <w:t>SECTION 12.25</w:t>
            </w:r>
          </w:p>
        </w:tc>
        <w:tc>
          <w:tcPr>
            <w:tcW w:w="7260" w:type="dxa"/>
            <w:vAlign w:val="bottom"/>
          </w:tcPr>
          <w:p>
            <w:pPr>
              <w:ind w:left="80"/>
              <w:spacing w:after="0"/>
              <w:rPr>
                <w:sz w:val="20"/>
                <w:szCs w:val="20"/>
                <w:color w:val="auto"/>
              </w:rPr>
            </w:pPr>
            <w:r>
              <w:rPr>
                <w:rFonts w:ascii="Arial" w:cs="Arial" w:eastAsia="Arial" w:hAnsi="Arial"/>
                <w:sz w:val="18"/>
                <w:szCs w:val="18"/>
                <w:color w:val="auto"/>
              </w:rPr>
              <w:t>Amendment and Restatement; No Novation</w:t>
            </w:r>
          </w:p>
        </w:tc>
        <w:tc>
          <w:tcPr>
            <w:tcW w:w="20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65"/>
        </w:trPr>
        <w:tc>
          <w:tcPr>
            <w:tcW w:w="1300" w:type="dxa"/>
            <w:vAlign w:val="bottom"/>
          </w:tcPr>
          <w:p>
            <w:pPr>
              <w:spacing w:after="0"/>
              <w:rPr>
                <w:sz w:val="24"/>
                <w:szCs w:val="24"/>
                <w:color w:val="auto"/>
              </w:rPr>
            </w:pPr>
          </w:p>
        </w:tc>
        <w:tc>
          <w:tcPr>
            <w:tcW w:w="7260" w:type="dxa"/>
            <w:vAlign w:val="bottom"/>
          </w:tcPr>
          <w:p>
            <w:pPr>
              <w:ind w:left="3780"/>
              <w:spacing w:after="0"/>
              <w:rPr>
                <w:sz w:val="20"/>
                <w:szCs w:val="20"/>
                <w:color w:val="auto"/>
              </w:rPr>
            </w:pPr>
            <w:r>
              <w:rPr>
                <w:rFonts w:ascii="Arial" w:cs="Arial" w:eastAsia="Arial" w:hAnsi="Arial"/>
                <w:sz w:val="18"/>
                <w:szCs w:val="18"/>
                <w:color w:val="auto"/>
              </w:rPr>
              <w:t>vi</w:t>
            </w:r>
          </w:p>
        </w:tc>
        <w:tc>
          <w:tcPr>
            <w:tcW w:w="2040" w:type="dxa"/>
            <w:vAlign w:val="bottom"/>
          </w:tcPr>
          <w:p>
            <w:pPr>
              <w:spacing w:after="0"/>
              <w:rPr>
                <w:sz w:val="24"/>
                <w:szCs w:val="24"/>
                <w:color w:val="auto"/>
              </w:rPr>
            </w:pPr>
          </w:p>
        </w:tc>
      </w:tr>
    </w:tbl>
    <w:p>
      <w:pPr>
        <w:sectPr>
          <w:pgSz w:w="11900" w:h="16838" w:orient="portrait"/>
          <w:cols w:equalWidth="0" w:num="1">
            <w:col w:w="10600"/>
          </w:cols>
          <w:pgMar w:left="800" w:top="270" w:right="49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5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5920" w:type="dxa"/>
            <w:vAlign w:val="bottom"/>
          </w:tcPr>
          <w:p>
            <w:pPr>
              <w:spacing w:after="0"/>
              <w:rPr>
                <w:sz w:val="17"/>
                <w:szCs w:val="17"/>
                <w:color w:val="auto"/>
              </w:rPr>
            </w:pPr>
          </w:p>
        </w:tc>
      </w:tr>
      <w:tr>
        <w:trPr>
          <w:trHeight w:val="222"/>
        </w:trPr>
        <w:tc>
          <w:tcPr>
            <w:tcW w:w="1340" w:type="dxa"/>
            <w:vAlign w:val="bottom"/>
            <w:gridSpan w:val="3"/>
          </w:tcPr>
          <w:p>
            <w:pPr>
              <w:spacing w:after="0"/>
              <w:rPr>
                <w:sz w:val="20"/>
                <w:szCs w:val="20"/>
                <w:color w:val="auto"/>
              </w:rPr>
            </w:pPr>
            <w:r>
              <w:rPr>
                <w:rFonts w:ascii="Arial" w:cs="Arial" w:eastAsia="Arial" w:hAnsi="Arial"/>
                <w:sz w:val="18"/>
                <w:szCs w:val="18"/>
                <w:color w:val="auto"/>
              </w:rPr>
              <w:t>Exhibit A-1</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US Revolving Credit Note</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A-2</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Canadian Revolving Credit Note</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A-3</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US Swingline Note</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A-4</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Canadian Swingline Note</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A-5</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US Term Loan Note</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A-6</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Canadian Term Loan Note</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Notice of Borrowing</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Notice of Account Designation</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Notice of Prepayment</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Notice of Conversion/Continuation</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Officer’s Compliance Certificate</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H-1</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w w:val="96"/>
              </w:rPr>
              <w:t>-  Form of U.S. Tax Compliance Certificate (Non-Partnership Foreign Lenders)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H-2</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w w:val="92"/>
              </w:rPr>
              <w:t>-  Form of U.S. Tax Compliance Certificate (Non-Partnership Foreign Participants)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H-3</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w w:val="98"/>
              </w:rPr>
              <w:t>-  Form of U.S. Tax Compliance Certificate (Foreign Participant Partnerships)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H-4</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Form of U.S. Tax Compliance Certificate (Foreign Lender Partnerships)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Additional Borrower Request and Assumption Agreement</w:t>
            </w:r>
          </w:p>
        </w:tc>
      </w:tr>
      <w:tr>
        <w:trPr>
          <w:trHeight w:val="230"/>
        </w:trPr>
        <w:tc>
          <w:tcPr>
            <w:tcW w:w="134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920" w:type="dxa"/>
            <w:vAlign w:val="bottom"/>
          </w:tcPr>
          <w:p>
            <w:pPr>
              <w:ind w:left="80"/>
              <w:spacing w:after="0"/>
              <w:rPr>
                <w:sz w:val="20"/>
                <w:szCs w:val="20"/>
                <w:color w:val="auto"/>
              </w:rPr>
            </w:pPr>
            <w:r>
              <w:rPr>
                <w:rFonts w:ascii="Arial" w:cs="Arial" w:eastAsia="Arial" w:hAnsi="Arial"/>
                <w:sz w:val="18"/>
                <w:szCs w:val="18"/>
                <w:color w:val="auto"/>
              </w:rPr>
              <w:t>Additional Borrower Notice</w:t>
            </w:r>
          </w:p>
        </w:tc>
      </w:tr>
      <w:tr>
        <w:trPr>
          <w:trHeight w:val="392"/>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SCHEDULES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22"/>
        </w:trPr>
        <w:tc>
          <w:tcPr>
            <w:tcW w:w="1340" w:type="dxa"/>
            <w:vAlign w:val="bottom"/>
            <w:gridSpan w:val="3"/>
          </w:tcPr>
          <w:p>
            <w:pPr>
              <w:spacing w:after="0"/>
              <w:rPr>
                <w:sz w:val="20"/>
                <w:szCs w:val="20"/>
                <w:color w:val="auto"/>
              </w:rPr>
            </w:pPr>
            <w:r>
              <w:rPr>
                <w:rFonts w:ascii="Arial" w:cs="Arial" w:eastAsia="Arial" w:hAnsi="Arial"/>
                <w:sz w:val="18"/>
                <w:szCs w:val="18"/>
                <w:color w:val="auto"/>
              </w:rPr>
              <w:t>Schedule 1.1(a)</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Commitments and Commitment Percentages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1.1(b)</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Existing Letters of Credit</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1.1(c)</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Historical Financial Covenant Amounts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1.1(d)</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Initial Issuing Lender Commitments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7.1</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Jurisdictions of Organization and Qualification</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7.2</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920" w:type="dxa"/>
            <w:vAlign w:val="bottom"/>
          </w:tcPr>
          <w:p>
            <w:pPr>
              <w:ind w:left="80"/>
              <w:spacing w:after="0"/>
              <w:rPr>
                <w:sz w:val="20"/>
                <w:szCs w:val="20"/>
                <w:color w:val="auto"/>
              </w:rPr>
            </w:pPr>
            <w:r>
              <w:rPr>
                <w:rFonts w:ascii="Arial" w:cs="Arial" w:eastAsia="Arial" w:hAnsi="Arial"/>
                <w:sz w:val="18"/>
                <w:szCs w:val="18"/>
                <w:color w:val="auto"/>
              </w:rPr>
              <w:t>Subsidiaries and Capitalization</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7.6</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920" w:type="dxa"/>
            <w:vAlign w:val="bottom"/>
          </w:tcPr>
          <w:p>
            <w:pPr>
              <w:ind w:left="80"/>
              <w:spacing w:after="0"/>
              <w:rPr>
                <w:sz w:val="20"/>
                <w:szCs w:val="20"/>
                <w:color w:val="auto"/>
              </w:rPr>
            </w:pPr>
            <w:r>
              <w:rPr>
                <w:rFonts w:ascii="Arial" w:cs="Arial" w:eastAsia="Arial" w:hAnsi="Arial"/>
                <w:sz w:val="18"/>
                <w:szCs w:val="18"/>
                <w:color w:val="auto"/>
              </w:rPr>
              <w:t>Tax Matters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7.9</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920" w:type="dxa"/>
            <w:vAlign w:val="bottom"/>
          </w:tcPr>
          <w:p>
            <w:pPr>
              <w:ind w:left="80"/>
              <w:spacing w:after="0"/>
              <w:rPr>
                <w:sz w:val="20"/>
                <w:szCs w:val="20"/>
                <w:color w:val="auto"/>
              </w:rPr>
            </w:pPr>
            <w:r>
              <w:rPr>
                <w:rFonts w:ascii="Arial" w:cs="Arial" w:eastAsia="Arial" w:hAnsi="Arial"/>
                <w:sz w:val="18"/>
                <w:szCs w:val="18"/>
                <w:color w:val="auto"/>
              </w:rPr>
              <w:t>ERISA Plans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7.13</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Labor and Collective Bargaining Agreements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7.18</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920" w:type="dxa"/>
            <w:vAlign w:val="bottom"/>
          </w:tcPr>
          <w:p>
            <w:pPr>
              <w:ind w:left="80"/>
              <w:spacing w:after="0"/>
              <w:rPr>
                <w:sz w:val="20"/>
                <w:szCs w:val="20"/>
                <w:color w:val="auto"/>
              </w:rPr>
            </w:pPr>
            <w:r>
              <w:rPr>
                <w:rFonts w:ascii="Arial" w:cs="Arial" w:eastAsia="Arial" w:hAnsi="Arial"/>
                <w:sz w:val="18"/>
                <w:szCs w:val="18"/>
                <w:color w:val="auto"/>
              </w:rPr>
              <w:t>Real Property</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8.19</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920" w:type="dxa"/>
            <w:vAlign w:val="bottom"/>
          </w:tcPr>
          <w:p>
            <w:pPr>
              <w:ind w:left="80"/>
              <w:spacing w:after="0"/>
              <w:rPr>
                <w:sz w:val="20"/>
                <w:szCs w:val="20"/>
                <w:color w:val="auto"/>
              </w:rPr>
            </w:pPr>
            <w:r>
              <w:rPr>
                <w:rFonts w:ascii="Arial" w:cs="Arial" w:eastAsia="Arial" w:hAnsi="Arial"/>
                <w:sz w:val="18"/>
                <w:szCs w:val="18"/>
                <w:color w:val="auto"/>
              </w:rPr>
              <w:t>Post-Closing Matters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9.1</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920" w:type="dxa"/>
            <w:vAlign w:val="bottom"/>
          </w:tcPr>
          <w:p>
            <w:pPr>
              <w:ind w:left="80"/>
              <w:spacing w:after="0"/>
              <w:rPr>
                <w:sz w:val="20"/>
                <w:szCs w:val="20"/>
                <w:color w:val="auto"/>
              </w:rPr>
            </w:pPr>
            <w:r>
              <w:rPr>
                <w:rFonts w:ascii="Arial" w:cs="Arial" w:eastAsia="Arial" w:hAnsi="Arial"/>
                <w:sz w:val="18"/>
                <w:szCs w:val="18"/>
                <w:color w:val="auto"/>
              </w:rPr>
              <w:t>Existing Indebtedness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9.2</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920" w:type="dxa"/>
            <w:vAlign w:val="bottom"/>
          </w:tcPr>
          <w:p>
            <w:pPr>
              <w:ind w:left="80"/>
              <w:spacing w:after="0"/>
              <w:rPr>
                <w:sz w:val="20"/>
                <w:szCs w:val="20"/>
                <w:color w:val="auto"/>
              </w:rPr>
            </w:pPr>
            <w:r>
              <w:rPr>
                <w:rFonts w:ascii="Arial" w:cs="Arial" w:eastAsia="Arial" w:hAnsi="Arial"/>
                <w:sz w:val="18"/>
                <w:szCs w:val="18"/>
                <w:color w:val="auto"/>
              </w:rPr>
              <w:t>Existing Liens</w:t>
            </w:r>
          </w:p>
        </w:tc>
      </w:tr>
      <w:tr>
        <w:trPr>
          <w:trHeight w:val="216"/>
        </w:trPr>
        <w:tc>
          <w:tcPr>
            <w:tcW w:w="1340" w:type="dxa"/>
            <w:vAlign w:val="bottom"/>
            <w:gridSpan w:val="3"/>
          </w:tcPr>
          <w:p>
            <w:pPr>
              <w:spacing w:after="0"/>
              <w:rPr>
                <w:sz w:val="20"/>
                <w:szCs w:val="20"/>
                <w:color w:val="auto"/>
              </w:rPr>
            </w:pPr>
            <w:r>
              <w:rPr>
                <w:rFonts w:ascii="Arial" w:cs="Arial" w:eastAsia="Arial" w:hAnsi="Arial"/>
                <w:sz w:val="18"/>
                <w:szCs w:val="18"/>
                <w:color w:val="auto"/>
              </w:rPr>
              <w:t>Schedule 9.3</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  Existing Loans, Advances and Investments</w:t>
            </w:r>
          </w:p>
        </w:tc>
      </w:tr>
      <w:tr>
        <w:trPr>
          <w:trHeight w:val="230"/>
        </w:trPr>
        <w:tc>
          <w:tcPr>
            <w:tcW w:w="1340" w:type="dxa"/>
            <w:vAlign w:val="bottom"/>
            <w:gridSpan w:val="3"/>
          </w:tcPr>
          <w:p>
            <w:pPr>
              <w:spacing w:after="0"/>
              <w:rPr>
                <w:sz w:val="20"/>
                <w:szCs w:val="20"/>
                <w:color w:val="auto"/>
              </w:rPr>
            </w:pPr>
            <w:r>
              <w:rPr>
                <w:rFonts w:ascii="Arial" w:cs="Arial" w:eastAsia="Arial" w:hAnsi="Arial"/>
                <w:sz w:val="18"/>
                <w:szCs w:val="18"/>
                <w:color w:val="auto"/>
              </w:rPr>
              <w:t>Schedule 9.7</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5920" w:type="dxa"/>
            <w:vAlign w:val="bottom"/>
          </w:tcPr>
          <w:p>
            <w:pPr>
              <w:ind w:left="80"/>
              <w:spacing w:after="0"/>
              <w:rPr>
                <w:sz w:val="20"/>
                <w:szCs w:val="20"/>
                <w:color w:val="auto"/>
              </w:rPr>
            </w:pPr>
            <w:r>
              <w:rPr>
                <w:rFonts w:ascii="Arial" w:cs="Arial" w:eastAsia="Arial" w:hAnsi="Arial"/>
                <w:sz w:val="18"/>
                <w:szCs w:val="18"/>
                <w:color w:val="auto"/>
              </w:rPr>
              <w:t>Transactions with Affiliates</w:t>
            </w:r>
          </w:p>
        </w:tc>
      </w:tr>
    </w:tbl>
    <w:p>
      <w:pPr>
        <w:spacing w:after="0" w:line="13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019"/>
          </w:cols>
          <w:pgMar w:left="440" w:top="257" w:right="1440" w:bottom="1440" w:gutter="0" w:footer="0" w:header="0"/>
        </w:sectPr>
      </w:pPr>
    </w:p>
    <w:bookmarkStart w:id="13" w:name="page14"/>
    <w:bookmarkEnd w:id="13"/>
    <w:p>
      <w:pPr>
        <w:ind w:right="1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SECOND AMENDED AND RESTATED CREDIT AGREEMENT, dated as of August 27, 2021, by and among CENTURI GROUP, INC., a Nevada corporation, and each Additional Borrower that becomes a party hereto in accordance with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as US Borrowers, CENTURI CANADA DIVISION INC., a corporation organized under the laws of the Province of Ontario, Canada, and each Additional Borrower that becomes a party hereto in accordance with </w:t>
      </w:r>
      <w:r>
        <w:rPr>
          <w:rFonts w:ascii="Arial" w:cs="Arial" w:eastAsia="Arial" w:hAnsi="Arial"/>
          <w:sz w:val="18"/>
          <w:szCs w:val="18"/>
          <w:u w:val="single" w:color="auto"/>
          <w:color w:val="auto"/>
        </w:rPr>
        <w:t>Section 5.17</w:t>
      </w:r>
      <w:r>
        <w:rPr>
          <w:rFonts w:ascii="Arial" w:cs="Arial" w:eastAsia="Arial" w:hAnsi="Arial"/>
          <w:sz w:val="18"/>
          <w:szCs w:val="18"/>
          <w:color w:val="auto"/>
        </w:rPr>
        <w:t>, as Canadian Borrowers, the lenders who are party to this Agreement and the lenders who may become a party to this Agreement pursuant to the terms hereof, as Lenders, and WELLS FARGO BANK, NATIONAL ASSOCIATION, a national banking association, as Administrative Agent for the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STATEMENT OF PURPOSE</w:t>
      </w:r>
    </w:p>
    <w:p>
      <w:pPr>
        <w:spacing w:after="0" w:line="225"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Certain of the Borrowers, certain financial institutions party thereto (the “</w:t>
      </w:r>
      <w:r>
        <w:rPr>
          <w:rFonts w:ascii="Arial" w:cs="Arial" w:eastAsia="Arial" w:hAnsi="Arial"/>
          <w:sz w:val="16"/>
          <w:szCs w:val="16"/>
          <w:u w:val="single" w:color="auto"/>
          <w:color w:val="auto"/>
        </w:rPr>
        <w:t>Existing Lenders</w:t>
      </w:r>
      <w:r>
        <w:rPr>
          <w:rFonts w:ascii="Arial" w:cs="Arial" w:eastAsia="Arial" w:hAnsi="Arial"/>
          <w:sz w:val="16"/>
          <w:szCs w:val="16"/>
          <w:color w:val="auto"/>
        </w:rPr>
        <w:t>”) and the Administrative Agent are parties to that certain Amended and Restated Credit Agreement dated as of November 7, 2017 (as amended, restated, supplemented or otherwise modified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pursuant to which the Existing Lenders extended senior credit facilities to certain of the Borrowers.</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Borrowers have requested, and subject to the terms and conditions set forth in this Agreement, the Administrative Agent and the Lenders have agreed, upon the terms and subject to the conditions set forth herein, to amend and restate the Existing Credit Agreement as set forth herein and extend senior credit facilities to the Borrowers as set forth herein.</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such parties hereby agree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when used in this Agreement shall have the meanings assigned to them below:</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Intercreditor Agreement</w:t>
      </w:r>
      <w:r>
        <w:rPr>
          <w:rFonts w:ascii="Arial" w:cs="Arial" w:eastAsia="Arial" w:hAnsi="Arial"/>
          <w:sz w:val="17"/>
          <w:szCs w:val="17"/>
          <w:color w:val="auto"/>
        </w:rPr>
        <w:t>” means an intercreditor agreement, the terms of which are consistent with market terms governing security arrangements for the sharing of liens and/or arrangements relating to the distribution of payments, as applicable, (a) to the extent executed in connection with the incurrence of Indebtedness secured by Collateral intended to rank equal in priority to the Liens on the Collateral securing the Obligations, on a pari passu basis, (b) to the extent executed in connection with the incurrence of Indebtedness secured by Collateral intended to rank junior in priority to the Liens on the Collateral securing the Obligations, on a junior basis, and/or (c) to the extent executed in connection with the incurrence of Indebtedness intended to rank junior in rights to payment to the Obligations, on a junior basis, in each case at the time such intercreditor agreement is proposed to be established, as determined by the Administrative Agent and the Borrower in the exercise of reasonable judgment, among the Administrative Agent and one or more representatives for the holders of any such Indebtedness.</w:t>
      </w:r>
    </w:p>
    <w:p>
      <w:pPr>
        <w:spacing w:after="0" w:line="17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any series of related transactions, consummated on or after the date of this Agreement, by which any Consolidated Company (a) acquires any going business or all or substantially all of the assets of any firm, corporation or limited liability company, or division thereof,</w:t>
      </w:r>
    </w:p>
    <w:p>
      <w:pPr>
        <w:sectPr>
          <w:pgSz w:w="11900" w:h="16838" w:orient="portrait"/>
          <w:cols w:equalWidth="0" w:num="1">
            <w:col w:w="11000"/>
          </w:cols>
          <w:pgMar w:left="440" w:top="274" w:right="459" w:bottom="1440" w:gutter="0" w:footer="0" w:header="0"/>
        </w:sectPr>
      </w:pPr>
    </w:p>
    <w:bookmarkStart w:id="14" w:name="page15"/>
    <w:bookmarkEnd w:id="14"/>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171" w:lineRule="exact"/>
        <w:rPr>
          <w:sz w:val="20"/>
          <w:szCs w:val="20"/>
          <w:color w:val="auto"/>
        </w:rPr>
      </w:pPr>
    </w:p>
    <w:p>
      <w:pPr>
        <w:jc w:val="both"/>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w:t>
      </w:r>
      <w:r>
        <w:rPr>
          <w:rFonts w:ascii="Arial" w:cs="Arial" w:eastAsia="Arial" w:hAnsi="Arial"/>
          <w:sz w:val="18"/>
          <w:szCs w:val="18"/>
          <w:color w:val="auto"/>
        </w:rPr>
        <w:t xml:space="preserve">” means certain Wholly-Owned US Subsidiaries and Wholly-Owned Canadian Subsidiaries of Centuri from time to time accepted as a Borrower to be party hereto pursuant to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 Request and Assumption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jc w:val="both"/>
        <w:ind w:left="4" w:right="2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Consolidated Net Income</w:t>
      </w:r>
      <w:r>
        <w:rPr>
          <w:rFonts w:ascii="Arial" w:cs="Arial" w:eastAsia="Arial" w:hAnsi="Arial"/>
          <w:sz w:val="16"/>
          <w:szCs w:val="16"/>
          <w:color w:val="auto"/>
        </w:rPr>
        <w:t>” means Consolidated Net Income for the applicable period, but excluding in calculating Consolidated Net Income (solely to the extent Consolidated Net Income for such period is greater than $0) the following items accrued for the applicable period of the calculation, (a) amortization of goodwill, (b) impairment charges with respect to goodwill and other intangible assets, (c) non-cash charges related to deferred taxes and valuation allowances on deferred tax assets and (d) non-amortized fees related to Indebtedness that are written off.</w:t>
      </w:r>
    </w:p>
    <w:p>
      <w:pPr>
        <w:spacing w:after="0" w:line="15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Wells Fargo, in its capacity as Administrative Agent hereunder, and any successor thereto appointed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170"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office of the Administrative Agent specified in or determined in accordance with the provisions of </w:t>
      </w:r>
      <w:r>
        <w:rPr>
          <w:rFonts w:ascii="Arial" w:cs="Arial" w:eastAsia="Arial" w:hAnsi="Arial"/>
          <w:sz w:val="18"/>
          <w:szCs w:val="18"/>
          <w:u w:val="single" w:color="auto"/>
          <w:color w:val="auto"/>
        </w:rPr>
        <w:t>Section 12.1(c)</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collectively, the Administrative Agent, the Arrangers and the syndication agent and the documentation agents listed on the cover page hereto.</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12.1(e)</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as amended, restated, supplemented or otherwise modified from time to time.</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All-In Yield</w:t>
      </w:r>
      <w:r>
        <w:rPr>
          <w:rFonts w:ascii="Arial" w:cs="Arial" w:eastAsia="Arial" w:hAnsi="Arial"/>
          <w:sz w:val="16"/>
          <w:szCs w:val="16"/>
          <w:color w:val="auto"/>
        </w:rPr>
        <w:t>” means, as to any Indebtedness, the effective all-in yield applicable thereto as reasonably determined by the Administrative Agent in consultation with the Borrowers in a manner consistent with generally accepted financial practices, taking into account: (a) interest rate margins,</w:t>
      </w:r>
    </w:p>
    <w:p>
      <w:pPr>
        <w:ind w:left="5464" w:right="3520" w:hanging="5464"/>
        <w:spacing w:after="0" w:line="433" w:lineRule="auto"/>
        <w:tabs>
          <w:tab w:leader="none" w:pos="256"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and upfront or similar fees (which shall be deemed to constitute like 2</w:t>
      </w:r>
    </w:p>
    <w:p>
      <w:pPr>
        <w:sectPr>
          <w:pgSz w:w="11900" w:h="16838" w:orient="portrait"/>
          <w:cols w:equalWidth="0" w:num="1">
            <w:col w:w="10984"/>
          </w:cols>
          <w:pgMar w:left="436" w:top="274" w:right="479" w:bottom="1440" w:gutter="0" w:footer="0" w:header="0"/>
        </w:sectPr>
      </w:pPr>
    </w:p>
    <w:bookmarkStart w:id="15" w:name="page16"/>
    <w:bookmarkEnd w:id="15"/>
    <w:p>
      <w:pPr>
        <w:jc w:val="both"/>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amounts of OID) payable by the Borrowers or any of their respective Subsidiaries or Affiliates to the lenders under, or holders of, such Indebtedness in the initial primary syndication thereof (with OID and upfront fees being equated to interest based on assumed four-year life to maturity (or, if less, the stated Weighted Average Life to Maturity at the time of its incurrence of the applicable Indebtedness)), and (c) any interest rate floor, but excluding</w:t>
      </w:r>
    </w:p>
    <w:p>
      <w:pPr>
        <w:spacing w:after="0" w:line="2" w:lineRule="exact"/>
        <w:rPr>
          <w:sz w:val="20"/>
          <w:szCs w:val="20"/>
          <w:color w:val="auto"/>
        </w:rPr>
      </w:pPr>
    </w:p>
    <w:p>
      <w:pPr>
        <w:ind w:left="4" w:hanging="4"/>
        <w:spacing w:after="0" w:line="268"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any arrangement, commitment, structuring, agency or underwriting fees that are not paid to or shared with all relevant lenders generally in connection with the commitment or syndication of such Indebtedness, (ii) any ticking, unused line or similar fees or (iii) any other fee that is not paid directly by the Borrowers generally to all relevant lenders ratably in the primary syndication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to the extent that any interest rate specified for such Indebtedness that is subject to a floor (in each case, without giving effect to any such floor on the date on which the All-In Yield is being calculated) is less than such floor, the amount of such difference will be deemed added to the interest rate margin applicable to such Indebtedness for purposes of calculating the All-In Yield and (B) to the extent that any interest rate specified for such Indebtedness that is subject to a floor (in each case, without giving effect to any such floor on the date on which the All-In Yield is being calculated) is equal to or greater than such floor, the floor will be disregarded in calculating the All-In Yield.</w:t>
      </w:r>
    </w:p>
    <w:p>
      <w:pPr>
        <w:spacing w:after="0" w:line="183"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Borrowers or their respective Subsidiaries from time to time concerning or relating to bribery or corruption, including, without limitation, the United States Foreign Corrupt Practices Act of 1977, as amended, and the rules and regulations thereunder.</w:t>
      </w:r>
    </w:p>
    <w:p>
      <w:pPr>
        <w:spacing w:after="0" w:line="184"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any and all laws, statutes, regulations or obligatory government decrees, orders, ordinances or rules applicable to the Borrowers or their respective Subsidiaries or Affiliates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87"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Designee</w:t>
      </w:r>
      <w:r>
        <w:rPr>
          <w:rFonts w:ascii="Arial" w:cs="Arial" w:eastAsia="Arial" w:hAnsi="Arial"/>
          <w:sz w:val="17"/>
          <w:szCs w:val="17"/>
          <w:color w:val="auto"/>
        </w:rPr>
        <w:t>” means any office, branch or Affiliate of a Lender designated thereby from time to time by written notice to the Administrative Agent and Centuri to fund all or any portion of such Lender’s Canadian Revolving Credit Loans and, to the extent applicable, any Incremental Term Loan made to any Canadian Borrower under this Agreement. Notwithstanding the designation by any Lender of an Applicable Designee, the Borrowers and the Administrative Agent shall be permitted to deal solely and directly with such Lender in connection with such Lender’s rights and obligations under this Agreement, and no such designation shall relieve any such Lender of its obligations hereunder.</w:t>
      </w:r>
    </w:p>
    <w:p>
      <w:pPr>
        <w:spacing w:after="0" w:line="176" w:lineRule="exact"/>
        <w:rPr>
          <w:sz w:val="20"/>
          <w:szCs w:val="20"/>
          <w:color w:val="auto"/>
        </w:rPr>
      </w:pPr>
    </w:p>
    <w:p>
      <w:pPr>
        <w:ind w:left="4" w:right="6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w:t>
      </w:r>
    </w:p>
    <w:p>
      <w:pPr>
        <w:spacing w:after="0" w:line="225" w:lineRule="exact"/>
        <w:rPr>
          <w:sz w:val="20"/>
          <w:szCs w:val="20"/>
          <w:color w:val="auto"/>
        </w:rPr>
      </w:pPr>
    </w:p>
    <w:p>
      <w:pPr>
        <w:ind w:left="824" w:hanging="384"/>
        <w:spacing w:after="0"/>
        <w:tabs>
          <w:tab w:leader="none" w:pos="824" w:val="left"/>
        </w:tabs>
        <w:numPr>
          <w:ilvl w:val="0"/>
          <w:numId w:val="5"/>
        </w:numPr>
        <w:rPr>
          <w:rFonts w:ascii="Arial" w:cs="Arial" w:eastAsia="Arial" w:hAnsi="Arial"/>
          <w:sz w:val="17"/>
          <w:szCs w:val="17"/>
          <w:color w:val="auto"/>
        </w:rPr>
      </w:pPr>
      <w:r>
        <w:rPr>
          <w:rFonts w:ascii="Arial" w:cs="Arial" w:eastAsia="Arial" w:hAnsi="Arial"/>
          <w:sz w:val="17"/>
          <w:szCs w:val="17"/>
          <w:color w:val="auto"/>
        </w:rPr>
        <w:t>with respect to the Initial Term Loans, (i) for LIBOR Rate Loans, 2.50% per annum and (ii) for Base Rate Loans, 1.50% per annum; and</w:t>
      </w:r>
    </w:p>
    <w:p>
      <w:pPr>
        <w:spacing w:after="0" w:line="236" w:lineRule="exact"/>
        <w:rPr>
          <w:rFonts w:ascii="Arial" w:cs="Arial" w:eastAsia="Arial" w:hAnsi="Arial"/>
          <w:sz w:val="17"/>
          <w:szCs w:val="17"/>
          <w:color w:val="auto"/>
        </w:rPr>
      </w:pPr>
    </w:p>
    <w:p>
      <w:pPr>
        <w:ind w:left="4" w:right="320" w:firstLine="436"/>
        <w:spacing w:after="0" w:line="277" w:lineRule="auto"/>
        <w:tabs>
          <w:tab w:leader="none" w:pos="834"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the Revolving Credit Facility, the corresponding percentages per annum as set forth below based on the Consolidated Net Leverage Ratio:</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Pricing</w:t>
            </w:r>
          </w:p>
        </w:tc>
        <w:tc>
          <w:tcPr>
            <w:tcW w:w="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LIBOR Rate</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Base Rate and</w:t>
            </w: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144"/>
        </w:trPr>
        <w:tc>
          <w:tcPr>
            <w:tcW w:w="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Consolidated Net Leverage Ratio</w:t>
            </w:r>
          </w:p>
        </w:tc>
        <w:tc>
          <w:tcPr>
            <w:tcW w:w="380" w:type="dxa"/>
            <w:vAlign w:val="bottom"/>
            <w:vMerge w:val="restart"/>
          </w:tcPr>
          <w:p>
            <w:pPr>
              <w:spacing w:after="0"/>
              <w:rPr>
                <w:sz w:val="12"/>
                <w:szCs w:val="12"/>
                <w:color w:val="auto"/>
              </w:rPr>
            </w:pPr>
          </w:p>
        </w:tc>
        <w:tc>
          <w:tcPr>
            <w:tcW w:w="1320" w:type="dxa"/>
            <w:vAlign w:val="bottom"/>
            <w:gridSpan w:val="2"/>
          </w:tcPr>
          <w:p>
            <w:pPr>
              <w:jc w:val="center"/>
              <w:ind w:right="540"/>
              <w:spacing w:after="0" w:line="144" w:lineRule="exact"/>
              <w:rPr>
                <w:sz w:val="20"/>
                <w:szCs w:val="20"/>
                <w:color w:val="auto"/>
              </w:rPr>
            </w:pPr>
            <w:r>
              <w:rPr>
                <w:rFonts w:ascii="Arial" w:cs="Arial" w:eastAsia="Arial" w:hAnsi="Arial"/>
                <w:sz w:val="14"/>
                <w:szCs w:val="14"/>
                <w:b w:val="1"/>
                <w:bCs w:val="1"/>
                <w:color w:val="auto"/>
                <w:w w:val="99"/>
              </w:rPr>
              <w:t>and CDOR</w:t>
            </w:r>
          </w:p>
        </w:tc>
        <w:tc>
          <w:tcPr>
            <w:tcW w:w="13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1"/>
              </w:rPr>
              <w:t>Canadian Base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380" w:type="dxa"/>
            <w:vAlign w:val="bottom"/>
            <w:tcBorders>
              <w:bottom w:val="single" w:sz="8" w:color="CCEEFF"/>
            </w:tcBorders>
          </w:tcPr>
          <w:p>
            <w:pPr>
              <w:spacing w:after="0"/>
              <w:rPr>
                <w:sz w:val="15"/>
                <w:szCs w:val="15"/>
                <w:color w:val="auto"/>
              </w:rPr>
            </w:pPr>
          </w:p>
        </w:tc>
        <w:tc>
          <w:tcPr>
            <w:tcW w:w="49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 +</w:t>
            </w:r>
          </w:p>
        </w:tc>
        <w:tc>
          <w:tcPr>
            <w:tcW w:w="5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 +</w:t>
            </w:r>
          </w:p>
        </w:tc>
        <w:tc>
          <w:tcPr>
            <w:tcW w:w="3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Fee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3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than or equal to 2.00 to 1.00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rPr>
              <w:t>II</w:t>
            </w:r>
          </w:p>
        </w:tc>
        <w:tc>
          <w:tcPr>
            <w:tcW w:w="5720" w:type="dxa"/>
            <w:vAlign w:val="bottom"/>
            <w:gridSpan w:val="3"/>
          </w:tcPr>
          <w:p>
            <w:pPr>
              <w:ind w:left="380"/>
              <w:spacing w:after="0"/>
              <w:rPr>
                <w:sz w:val="20"/>
                <w:szCs w:val="20"/>
                <w:color w:val="auto"/>
              </w:rPr>
            </w:pPr>
            <w:r>
              <w:rPr>
                <w:rFonts w:ascii="Arial" w:cs="Arial" w:eastAsia="Arial" w:hAnsi="Arial"/>
                <w:sz w:val="18"/>
                <w:szCs w:val="18"/>
                <w:color w:val="auto"/>
              </w:rPr>
              <w:t>Greater than 2.00 to 1.00, but less than or equal to 2.50 to 1.00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1.25%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57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Greater than 2.50 to 1.00, but less than or equal to 3.00 to 1.00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rPr>
              <w:t>IV</w:t>
            </w:r>
          </w:p>
        </w:tc>
        <w:tc>
          <w:tcPr>
            <w:tcW w:w="5720" w:type="dxa"/>
            <w:vAlign w:val="bottom"/>
            <w:gridSpan w:val="3"/>
          </w:tcPr>
          <w:p>
            <w:pPr>
              <w:ind w:left="380"/>
              <w:spacing w:after="0"/>
              <w:rPr>
                <w:sz w:val="20"/>
                <w:szCs w:val="20"/>
                <w:color w:val="auto"/>
              </w:rPr>
            </w:pPr>
            <w:r>
              <w:rPr>
                <w:rFonts w:ascii="Arial" w:cs="Arial" w:eastAsia="Arial" w:hAnsi="Arial"/>
                <w:sz w:val="18"/>
                <w:szCs w:val="18"/>
                <w:color w:val="auto"/>
              </w:rPr>
              <w:t>Greater than 3.00 to 1.00, but less than or equal to 3.50 to 1.00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1.75%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0.75%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V</w:t>
            </w:r>
          </w:p>
        </w:tc>
        <w:tc>
          <w:tcPr>
            <w:tcW w:w="57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Greater than 3.50 to 1.00, but less than or equal to 4.00 to 1.00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0.300%</w:t>
            </w:r>
          </w:p>
        </w:tc>
        <w:tc>
          <w:tcPr>
            <w:tcW w:w="0" w:type="dxa"/>
            <w:vAlign w:val="bottom"/>
          </w:tcPr>
          <w:p>
            <w:pPr>
              <w:spacing w:after="0"/>
              <w:rPr>
                <w:sz w:val="1"/>
                <w:szCs w:val="1"/>
                <w:color w:val="auto"/>
              </w:rPr>
            </w:pPr>
          </w:p>
        </w:tc>
      </w:tr>
      <w:tr>
        <w:trPr>
          <w:trHeight w:val="230"/>
        </w:trPr>
        <w:tc>
          <w:tcPr>
            <w:tcW w:w="700" w:type="dxa"/>
            <w:vAlign w:val="bottom"/>
          </w:tcPr>
          <w:p>
            <w:pPr>
              <w:jc w:val="center"/>
              <w:spacing w:after="0"/>
              <w:rPr>
                <w:sz w:val="20"/>
                <w:szCs w:val="20"/>
                <w:color w:val="auto"/>
              </w:rPr>
            </w:pPr>
            <w:r>
              <w:rPr>
                <w:rFonts w:ascii="Arial" w:cs="Arial" w:eastAsia="Arial" w:hAnsi="Arial"/>
                <w:sz w:val="18"/>
                <w:szCs w:val="18"/>
                <w:color w:val="auto"/>
              </w:rPr>
              <w:t>VI</w:t>
            </w:r>
          </w:p>
        </w:tc>
        <w:tc>
          <w:tcPr>
            <w:tcW w:w="5720" w:type="dxa"/>
            <w:vAlign w:val="bottom"/>
            <w:gridSpan w:val="3"/>
          </w:tcPr>
          <w:p>
            <w:pPr>
              <w:ind w:left="380"/>
              <w:spacing w:after="0"/>
              <w:rPr>
                <w:sz w:val="20"/>
                <w:szCs w:val="20"/>
                <w:color w:val="auto"/>
              </w:rPr>
            </w:pPr>
            <w:r>
              <w:rPr>
                <w:rFonts w:ascii="Arial" w:cs="Arial" w:eastAsia="Arial" w:hAnsi="Arial"/>
                <w:sz w:val="18"/>
                <w:szCs w:val="18"/>
                <w:color w:val="auto"/>
              </w:rPr>
              <w:t>Greater than 4.00 to 1.00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2.25%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0.350%</w:t>
            </w:r>
          </w:p>
        </w:tc>
        <w:tc>
          <w:tcPr>
            <w:tcW w:w="0" w:type="dxa"/>
            <w:vAlign w:val="bottom"/>
          </w:tcPr>
          <w:p>
            <w:pPr>
              <w:spacing w:after="0"/>
              <w:rPr>
                <w:sz w:val="1"/>
                <w:szCs w:val="1"/>
                <w:color w:val="auto"/>
              </w:rPr>
            </w:pPr>
          </w:p>
        </w:tc>
      </w:tr>
      <w:tr>
        <w:trPr>
          <w:trHeight w:val="350"/>
        </w:trPr>
        <w:tc>
          <w:tcPr>
            <w:tcW w:w="700" w:type="dxa"/>
            <w:vAlign w:val="bottom"/>
          </w:tcPr>
          <w:p>
            <w:pPr>
              <w:spacing w:after="0"/>
              <w:rPr>
                <w:sz w:val="24"/>
                <w:szCs w:val="24"/>
                <w:color w:val="auto"/>
              </w:rPr>
            </w:pPr>
          </w:p>
        </w:tc>
        <w:tc>
          <w:tcPr>
            <w:tcW w:w="5340" w:type="dxa"/>
            <w:vAlign w:val="bottom"/>
            <w:gridSpan w:val="2"/>
          </w:tcPr>
          <w:p>
            <w:pPr>
              <w:jc w:val="right"/>
              <w:ind w:right="859"/>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4" w:right="459" w:bottom="1440" w:gutter="0" w:footer="0" w:header="0"/>
        </w:sectPr>
      </w:pPr>
    </w:p>
    <w:bookmarkStart w:id="16" w:name="page17"/>
    <w:bookmarkEnd w:id="16"/>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Applicable Margin shall be determined and adjusted quarterly on the date five (5) Business Days after the day on which Centuri provides an Officer’s Compliance Certificate pursuant to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for the most recently ended fiscal quarter of Centuri (each such date, a “</w:t>
      </w:r>
      <w:r>
        <w:rPr>
          <w:rFonts w:ascii="Arial" w:cs="Arial" w:eastAsia="Arial" w:hAnsi="Arial"/>
          <w:sz w:val="16"/>
          <w:szCs w:val="16"/>
          <w:u w:val="single" w:color="auto"/>
          <w:color w:val="auto"/>
        </w:rPr>
        <w:t>Calculation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Applicable Margin shall be based on the Pricing Level VI until the first Calculation Date occurring in connection with the first full fiscal quarter to end after the Closing Date and, thereafter the Pricing Level shall be determined by reference to the Consolidated Net Leverage Ratio as of the last day of the most recently ended fiscal quarter of Centuri preceding the applicable Calculation Date, and (b) if Centuri fails to provide an Officer’s Compliance Certificate when due as required by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the most recently ended fiscal quarter of Centuri preceding the applicable Calculation Date, the Applicable Margin from the date on which such Officer’s Compliance Certificate was required to have been delivered shall be based on Pricing Level VI until such time as such Officer’s Compliance Certificate is delivered, at which time the Pricing Level shall be determined by reference to the Consolidated Net Leverage Ratio as of the last day of the most recently ended fiscal quarter of Centuri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Notwithstanding the foregoing, in the event that any financial statement or Officer’s Compliance Certificate delivered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8.2</w:t>
      </w:r>
      <w:r>
        <w:rPr>
          <w:rFonts w:ascii="Arial" w:cs="Arial" w:eastAsia="Arial" w:hAnsi="Arial"/>
          <w:sz w:val="17"/>
          <w:szCs w:val="17"/>
          <w:color w:val="auto"/>
        </w:rPr>
        <w:t xml:space="preserve"> is shown to be inaccurate (regardless of whether (i) this Agreement is in effect, (ii) any Commitments are in effect, or (iii) any Extension of Credit is outstanding when such inaccuracy is discovered or such financial statement or Officer’s Compliance Certificate was delivered), and such inaccuracy, if corrected, would have led to the application of a higher Applicable Margin for any period (an “</w:t>
      </w:r>
      <w:r>
        <w:rPr>
          <w:rFonts w:ascii="Arial" w:cs="Arial" w:eastAsia="Arial" w:hAnsi="Arial"/>
          <w:sz w:val="17"/>
          <w:szCs w:val="17"/>
          <w:u w:val="single" w:color="auto"/>
          <w:color w:val="auto"/>
        </w:rPr>
        <w:t>Applicable Period</w:t>
      </w:r>
      <w:r>
        <w:rPr>
          <w:rFonts w:ascii="Arial" w:cs="Arial" w:eastAsia="Arial" w:hAnsi="Arial"/>
          <w:sz w:val="17"/>
          <w:szCs w:val="17"/>
          <w:color w:val="auto"/>
        </w:rPr>
        <w:t xml:space="preserve">”) than the Applicable Margin applied for such Applicable Period, then (A) Centuri shall immediately deliver to the Administrative Agent a corrected Officer’s Compliance Certificate for such Applicable Period, (B) the Applicable Margin for such Applicable Period shall be determined as if the Consolidated Net Leverage Ratio in the corrected Officer’s Compliance Certificate were applicable for such Applicable Period, and (C) the Borrowers shall immediately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Nothing in this paragraph shall limit the rights of the Administrative Agent and Lenders with respect to </w:t>
      </w:r>
      <w:r>
        <w:rPr>
          <w:rFonts w:ascii="Arial" w:cs="Arial" w:eastAsia="Arial" w:hAnsi="Arial"/>
          <w:sz w:val="17"/>
          <w:szCs w:val="17"/>
          <w:u w:val="single" w:color="auto"/>
          <w:color w:val="auto"/>
        </w:rPr>
        <w:t>Sections 5.1(b)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nor any of their other rights under this Agreement or any other Loan Document. The Borrowers’ obligations under this paragraph shall survive the termination of the Commitments and the repayment of all other Obligations hereunder.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given such term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Wells Fargo Securities, LLC and BofA Securities, Inc., in their respective capacities as joint lead arrangers and joint bookrunners.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7" w:name="page18"/>
    <w:bookmarkEnd w:id="17"/>
    <w:p>
      <w:pPr>
        <w:jc w:val="both"/>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Asset Disposition</w:t>
      </w:r>
      <w:r>
        <w:rPr>
          <w:rFonts w:ascii="Arial" w:cs="Arial" w:eastAsia="Arial" w:hAnsi="Arial"/>
          <w:sz w:val="18"/>
          <w:szCs w:val="18"/>
          <w:color w:val="auto"/>
        </w:rPr>
        <w:t>” means the disposition of any Property (including, without limitation, any Equity Interests owned thereby) by any Credit Party or any Subsidiary thereof, whether by sale, lease, transfer, statutory division or otherwise, and any issuance of Equity Interests by any Subsidiary of any Credit Party to any Person that is not a Credit Party or any Subsidiary thereof.</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and accepted by the Administrative Agent, in substantially the form attached as </w:t>
      </w:r>
      <w:r>
        <w:rPr>
          <w:rFonts w:ascii="Arial" w:cs="Arial" w:eastAsia="Arial" w:hAnsi="Arial"/>
          <w:sz w:val="18"/>
          <w:szCs w:val="18"/>
          <w:b w:val="1"/>
          <w:bCs w:val="1"/>
          <w:i w:val="1"/>
          <w:iCs w:val="1"/>
          <w:color w:val="auto"/>
        </w:rPr>
        <w:t>Exhibit G</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Indebtedness</w:t>
      </w:r>
      <w:r>
        <w:rPr>
          <w:rFonts w:ascii="Arial" w:cs="Arial" w:eastAsia="Arial" w:hAnsi="Arial"/>
          <w:sz w:val="17"/>
          <w:szCs w:val="17"/>
          <w:color w:val="auto"/>
        </w:rPr>
        <w:t>” means, on any date of determination, (a) in respect of any Capital Lease Obligation of any Person, the capitalized amount thereof that would appear on a balance sheet of such Person prepared as of such date in accordance with GAAP,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 and (c) in respect of any Permitted Receivables Transaction, the aggregate cash amount paid by the lenders and/or purchasers under such Permitted Receivables Transaction in connection with their purchase of, or the making of loans secured by, Receivables Assets or interests therein, as the same may be reduced from time to time by collections with respect to such Receivables Assets or otherwise in accordance with the terms of the Permitted Receivables Transaction Documents since the Closing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on any date of determination, an amount equal to:</w:t>
      </w:r>
    </w:p>
    <w:p>
      <w:pPr>
        <w:spacing w:after="0" w:line="225" w:lineRule="exact"/>
        <w:rPr>
          <w:sz w:val="20"/>
          <w:szCs w:val="20"/>
          <w:color w:val="auto"/>
        </w:rPr>
      </w:pPr>
    </w:p>
    <w:p>
      <w:pPr>
        <w:ind w:right="80" w:firstLine="436"/>
        <w:spacing w:after="0" w:line="25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an amount, not less than zero, equal to 50% of Adjusted Consolidated Net Income for the period (taken as one accounting period) from the fiscal quarter following September 30, 2020 to the end of the fiscal quarter most recently ended in respect of which an Officer’s Compliance Certificate has been delivered as required hereunder (or, in the case such Adjusted Consolidated Net Income shall be a negative number, 100% of such negative number); </w:t>
      </w:r>
      <w:r>
        <w:rPr>
          <w:rFonts w:ascii="Arial" w:cs="Arial" w:eastAsia="Arial" w:hAnsi="Arial"/>
          <w:sz w:val="18"/>
          <w:szCs w:val="18"/>
          <w:u w:val="single" w:color="auto"/>
          <w:color w:val="auto"/>
        </w:rPr>
        <w:t>plus</w:t>
      </w:r>
    </w:p>
    <w:p>
      <w:pPr>
        <w:spacing w:after="0" w:line="186" w:lineRule="exact"/>
        <w:rPr>
          <w:rFonts w:ascii="Arial" w:cs="Arial" w:eastAsia="Arial" w:hAnsi="Arial"/>
          <w:sz w:val="18"/>
          <w:szCs w:val="18"/>
          <w:color w:val="auto"/>
        </w:rPr>
      </w:pPr>
    </w:p>
    <w:p>
      <w:pPr>
        <w:ind w:right="240" w:firstLine="436"/>
        <w:spacing w:after="0" w:line="296" w:lineRule="auto"/>
        <w:tabs>
          <w:tab w:leader="none" w:pos="83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net cash proceeds received by Centuri after the Closing Date as a result of any issuance of Qualified Equity Interests of Centuri to Southwest Gas and cash contributions received by Centuri from Southwest Gas as a capital contribution as common Equity Interests, in each case, during the period from the Closing Date through and including such date, other than the proceeds of issuances of Qualified Equity Interests or capital contributions to the extent specifically and contemporaneously utilized in connection with other transactions permitted pursuant to this Agreement (including the Drum Acquisition, but excluding any Investments made pursuant to </w:t>
      </w:r>
      <w:r>
        <w:rPr>
          <w:rFonts w:ascii="Arial" w:cs="Arial" w:eastAsia="Arial" w:hAnsi="Arial"/>
          <w:sz w:val="16"/>
          <w:szCs w:val="16"/>
          <w:u w:val="single" w:color="auto"/>
          <w:color w:val="auto"/>
        </w:rPr>
        <w:t>Section 9.3(i)</w:t>
      </w:r>
      <w:r>
        <w:rPr>
          <w:rFonts w:ascii="Arial" w:cs="Arial" w:eastAsia="Arial" w:hAnsi="Arial"/>
          <w:sz w:val="16"/>
          <w:szCs w:val="16"/>
          <w:color w:val="auto"/>
        </w:rPr>
        <w:t xml:space="preserve"> that are deducted pursuant to clause (d) below); </w:t>
      </w:r>
      <w:r>
        <w:rPr>
          <w:rFonts w:ascii="Arial" w:cs="Arial" w:eastAsia="Arial" w:hAnsi="Arial"/>
          <w:sz w:val="16"/>
          <w:szCs w:val="16"/>
          <w:u w:val="single" w:color="auto"/>
          <w:color w:val="auto"/>
        </w:rPr>
        <w:t>plus</w:t>
      </w:r>
    </w:p>
    <w:p>
      <w:pPr>
        <w:spacing w:after="0" w:line="161" w:lineRule="exact"/>
        <w:rPr>
          <w:rFonts w:ascii="Arial" w:cs="Arial" w:eastAsia="Arial" w:hAnsi="Arial"/>
          <w:sz w:val="16"/>
          <w:szCs w:val="16"/>
          <w:color w:val="auto"/>
        </w:rPr>
      </w:pPr>
    </w:p>
    <w:p>
      <w:pPr>
        <w:ind w:right="300" w:firstLine="436"/>
        <w:spacing w:after="0" w:line="301"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net cash proceeds received by Centuri or any Subsidiary during the period from the Closing Date through and including such date in connection with (i) cash returns, cash profits, cash distributions and similar cash amounts, including cash principal repayments of loans, in each case received in respect of any Investment originally made using the Available Amount after the Closing Date and (ii) sales of Investments that were originally made using the Available Amount (in each case, in an amount not to exceed the original amount of such Investment); </w:t>
      </w:r>
      <w:r>
        <w:rPr>
          <w:rFonts w:ascii="Arial" w:cs="Arial" w:eastAsia="Arial" w:hAnsi="Arial"/>
          <w:sz w:val="16"/>
          <w:szCs w:val="16"/>
          <w:u w:val="single" w:color="auto"/>
          <w:color w:val="auto"/>
        </w:rPr>
        <w:t>minus</w:t>
      </w:r>
    </w:p>
    <w:p>
      <w:pPr>
        <w:spacing w:after="0" w:line="157" w:lineRule="exact"/>
        <w:rPr>
          <w:rFonts w:ascii="Arial" w:cs="Arial" w:eastAsia="Arial" w:hAnsi="Arial"/>
          <w:sz w:val="16"/>
          <w:szCs w:val="16"/>
          <w:color w:val="auto"/>
        </w:rPr>
      </w:pPr>
    </w:p>
    <w:p>
      <w:pPr>
        <w:ind w:right="560" w:firstLine="436"/>
        <w:spacing w:after="0" w:line="277" w:lineRule="auto"/>
        <w:tabs>
          <w:tab w:leader="none" w:pos="83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amount of payments made by Centuri or any of its Subsidiaries after the Closing Date to acquire the remaining Equity Interests of Linetec pursuant to </w:t>
      </w:r>
      <w:r>
        <w:rPr>
          <w:rFonts w:ascii="Arial" w:cs="Arial" w:eastAsia="Arial" w:hAnsi="Arial"/>
          <w:sz w:val="18"/>
          <w:szCs w:val="18"/>
          <w:u w:val="single" w:color="auto"/>
          <w:color w:val="auto"/>
        </w:rPr>
        <w:t>Section 9.3(i)</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p>
    <w:p>
      <w:pPr>
        <w:spacing w:after="0" w:line="170" w:lineRule="exact"/>
        <w:rPr>
          <w:rFonts w:ascii="Arial" w:cs="Arial" w:eastAsia="Arial" w:hAnsi="Arial"/>
          <w:sz w:val="18"/>
          <w:szCs w:val="18"/>
          <w:color w:val="auto"/>
        </w:rPr>
      </w:pPr>
    </w:p>
    <w:p>
      <w:pPr>
        <w:ind w:right="540" w:firstLine="43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aggregate amount of all usage of the Available Amount pursuant to </w:t>
      </w:r>
      <w:r>
        <w:rPr>
          <w:rFonts w:ascii="Arial" w:cs="Arial" w:eastAsia="Arial" w:hAnsi="Arial"/>
          <w:sz w:val="18"/>
          <w:szCs w:val="18"/>
          <w:u w:val="single" w:color="auto"/>
          <w:color w:val="auto"/>
        </w:rPr>
        <w:t>Sections 9.3(j)</w:t>
      </w:r>
      <w:r>
        <w:rPr>
          <w:rFonts w:ascii="Arial" w:cs="Arial" w:eastAsia="Arial" w:hAnsi="Arial"/>
          <w:sz w:val="18"/>
          <w:szCs w:val="18"/>
          <w:color w:val="auto"/>
        </w:rPr>
        <w:t xml:space="preserve">, </w:t>
      </w:r>
      <w:r>
        <w:rPr>
          <w:rFonts w:ascii="Arial" w:cs="Arial" w:eastAsia="Arial" w:hAnsi="Arial"/>
          <w:sz w:val="18"/>
          <w:szCs w:val="18"/>
          <w:u w:val="single" w:color="auto"/>
          <w:color w:val="auto"/>
        </w:rPr>
        <w:t>9.6(d)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9.9(c)</w:t>
      </w:r>
      <w:r>
        <w:rPr>
          <w:rFonts w:ascii="Arial" w:cs="Arial" w:eastAsia="Arial" w:hAnsi="Arial"/>
          <w:sz w:val="18"/>
          <w:szCs w:val="18"/>
          <w:color w:val="auto"/>
        </w:rPr>
        <w:t xml:space="preserve"> on and after the Closing Date through and including the date of determination.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8" w:name="page19"/>
    <w:bookmarkEnd w:id="18"/>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Available Tenor</w:t>
      </w:r>
      <w:r>
        <w:rPr>
          <w:rFonts w:ascii="Arial" w:cs="Arial" w:eastAsia="Arial" w:hAnsi="Arial"/>
          <w:sz w:val="16"/>
          <w:szCs w:val="16"/>
          <w:color w:val="auto"/>
        </w:rPr>
        <w:t xml:space="preserve">” means, as of any date of determination and with respect to the then-current Benchmark, as applicable, (a) if the then-current Benchmark is a term rate, any tenor for such Benchmark or (b) otherwise, any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16"/>
          <w:szCs w:val="16"/>
          <w:u w:val="single" w:color="auto"/>
          <w:color w:val="auto"/>
        </w:rPr>
        <w:t>Section 5.8(c)(iv)</w:t>
      </w:r>
      <w:r>
        <w:rPr>
          <w:rFonts w:ascii="Arial" w:cs="Arial" w:eastAsia="Arial" w:hAnsi="Arial"/>
          <w:sz w:val="16"/>
          <w:szCs w:val="16"/>
          <w:color w:val="auto"/>
        </w:rPr>
        <w:t>.</w:t>
      </w:r>
    </w:p>
    <w:p>
      <w:pPr>
        <w:spacing w:after="0" w:line="15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at any time, the highest of (a) the Prime Rate, (b)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and (c) the LIBOR Rate for an Interest Period of one month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 each change in the Base Rate shall take effect simultaneously with the corresponding change or changes in the Prime Rate, the Federal Funds Rate or the LIBOR Rate.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means any Loan bearing interest at a rate based upon the Base Rate as provided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USD LIBOR;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 Term SOFR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w:t>
      </w:r>
      <w:r>
        <w:rPr>
          <w:rFonts w:ascii="Arial" w:cs="Arial" w:eastAsia="Arial" w:hAnsi="Arial"/>
          <w:sz w:val="18"/>
          <w:szCs w:val="18"/>
          <w:u w:val="single" w:color="auto"/>
          <w:color w:val="auto"/>
        </w:rPr>
        <w:t>Section 5.8(c)(i)</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for any Available Tenor,</w:t>
      </w:r>
    </w:p>
    <w:p>
      <w:pPr>
        <w:spacing w:after="0" w:line="225" w:lineRule="exact"/>
        <w:rPr>
          <w:sz w:val="20"/>
          <w:szCs w:val="20"/>
          <w:color w:val="auto"/>
        </w:rPr>
      </w:pPr>
    </w:p>
    <w:p>
      <w:pPr>
        <w:ind w:right="640" w:firstLine="43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any Benchmark Transition Event or Early Opt-in Election, the first alternative set forth in the order below that can be determined by the Administrative Agent for the applicable Benchmark Replacement Date:</w:t>
      </w:r>
    </w:p>
    <w:p>
      <w:pPr>
        <w:spacing w:after="0" w:line="62" w:lineRule="exact"/>
        <w:rPr>
          <w:rFonts w:ascii="Arial" w:cs="Arial" w:eastAsia="Arial" w:hAnsi="Arial"/>
          <w:sz w:val="18"/>
          <w:szCs w:val="18"/>
          <w:color w:val="auto"/>
        </w:rPr>
      </w:pPr>
    </w:p>
    <w:p>
      <w:pPr>
        <w:ind w:left="440" w:right="20" w:firstLine="419"/>
        <w:spacing w:after="0" w:line="255" w:lineRule="auto"/>
        <w:tabs>
          <w:tab w:leader="none" w:pos="1253"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sum of: (A) Term SOFR and (B) the related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that, if Centuri has provided a notification to the Administrative Agent in writing on or prior to such Benchmark Replacement Date that a Borrower has a Hedge Agreement in place with respect to any of the Loans as of the date of such notice (which such notification the Administrative Agent shall be entitled to rely upon and shall have no duty or obligation to ascertain the correctness or completeness of), then the Administrative Agent, in its sole discretion, may decide not to determine the Benchmark Replacement pursuant to this clause (a)(1) for such Benchmark Transition Event or Early Opt-in Election, as applicable;</w:t>
      </w:r>
    </w:p>
    <w:p>
      <w:pPr>
        <w:spacing w:after="0" w:line="84" w:lineRule="exact"/>
        <w:rPr>
          <w:rFonts w:ascii="Arial" w:cs="Arial" w:eastAsia="Arial" w:hAnsi="Arial"/>
          <w:sz w:val="18"/>
          <w:szCs w:val="18"/>
          <w:color w:val="auto"/>
        </w:rPr>
      </w:pPr>
    </w:p>
    <w:p>
      <w:pPr>
        <w:ind w:left="1240" w:hanging="381"/>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9" w:name="page20"/>
    <w:bookmarkEnd w:id="19"/>
    <w:p>
      <w:pPr>
        <w:ind w:left="440" w:right="20" w:firstLine="419"/>
        <w:spacing w:after="0" w:line="275" w:lineRule="auto"/>
        <w:tabs>
          <w:tab w:leader="none" w:pos="1253" w:val="left"/>
        </w:tabs>
        <w:numPr>
          <w:ilvl w:val="1"/>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 (A) the alternate benchmark rate that has been selected by the Administrative Agent and Centuri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or</w:t>
      </w:r>
    </w:p>
    <w:p>
      <w:pPr>
        <w:spacing w:after="0" w:line="176" w:lineRule="exact"/>
        <w:rPr>
          <w:rFonts w:ascii="Arial" w:cs="Arial" w:eastAsia="Arial" w:hAnsi="Arial"/>
          <w:sz w:val="17"/>
          <w:szCs w:val="17"/>
          <w:color w:val="auto"/>
        </w:rPr>
      </w:pPr>
    </w:p>
    <w:p>
      <w:pPr>
        <w:ind w:left="820" w:hanging="384"/>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 respect to any Term SOFR Transition Event, the sum of (i) Term SOFR and (ii) the related Benchmark Replacement Adjustment;</w:t>
      </w: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case of clause (a)(1), if the Administrative Agent decides that Term SOFR is not administratively feasible for the Administrative Agent, then Term SOFR will be deemed unable to be determined for purposes of this definition and (ii) in the case of clause (a)(1) or clause (b) of this definition, the applicable Unadjusted Benchmark Replacement is displayed on a screen or other information service that publishes such rate from time to time as selected by the Administrative Agent in its reasonable discretion and made in a manner substantially consistent with determinations being made for similarly situated customers of such Administrative Agent under agreements having similar provisions. If the Benchmark Replacement as determined pursuant to clause (a)(1), (a)(2) or (a)(3) or clause (b) of this definition would be less than the Floor, the Benchmark Replacement will be deemed to be the Floor for the purposes of this Agreement and the other Loan Documents.</w:t>
      </w:r>
    </w:p>
    <w:p>
      <w:pPr>
        <w:spacing w:after="0" w:line="177"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46" w:lineRule="exact"/>
        <w:rPr>
          <w:sz w:val="20"/>
          <w:szCs w:val="20"/>
          <w:color w:val="auto"/>
        </w:rPr>
      </w:pPr>
    </w:p>
    <w:p>
      <w:pPr>
        <w:jc w:val="both"/>
        <w:ind w:right="20" w:firstLine="436"/>
        <w:spacing w:after="0" w:line="263" w:lineRule="auto"/>
        <w:tabs>
          <w:tab w:leader="none" w:pos="8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purposes of clauses (a)(1) and (b) of the definition of “Benchmark Replacement,” an amount equal to (A) 0.11448% (11.448 basis points) for an Available Tenor of one-month’s duration, (B) 0.26161% (26.161 basis points) for an Available Tenor of three-months’ duration and (C) 0.42826% (42.826 basis points) for an Available Tenor of six-months’ duration;</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purposes of clause (a)(2) of the definition of “Benchmark Replacement,” an amount equal to 0.11448% (11.448 basis points); and</w:t>
      </w:r>
    </w:p>
    <w:p>
      <w:pPr>
        <w:spacing w:after="0" w:line="236" w:lineRule="exact"/>
        <w:rPr>
          <w:rFonts w:ascii="Arial" w:cs="Arial" w:eastAsia="Arial" w:hAnsi="Arial"/>
          <w:sz w:val="17"/>
          <w:szCs w:val="17"/>
          <w:color w:val="auto"/>
        </w:rPr>
      </w:pPr>
    </w:p>
    <w:p>
      <w:pPr>
        <w:ind w:right="40" w:firstLine="436"/>
        <w:spacing w:after="0" w:line="272" w:lineRule="auto"/>
        <w:tabs>
          <w:tab w:leader="none" w:pos="8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purposes of clause (a)(3) of the definition of “Benchmark Replacement,” the spread adjustment, or method for calculating or determining such spread adjustment, (which may be a positive or negative value or zero) that has been selected by the Administrative Agent and Centuri giving due consideration to (i) any selection or recommendation of a spread adjustment, or method for calculating or determining such spread adjustment, for the replacement of such Available Tenor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Available Tenor of such Benchmark with the applicable Unadjusted Benchmark Replacement for Dollar-denominated syndicated credit facilities.</w:t>
      </w:r>
    </w:p>
    <w:p>
      <w:pPr>
        <w:spacing w:after="0" w:line="17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0" w:name="page21"/>
    <w:bookmarkEnd w:id="20"/>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technical, administrative or operational matters) that the Administrative Agent (in consultation with Centuri)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Centuri) is reasonably necessary in connection with the administration of this Agreement and the other Loan Documents).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225" w:lineRule="exact"/>
        <w:rPr>
          <w:sz w:val="20"/>
          <w:szCs w:val="20"/>
          <w:color w:val="auto"/>
        </w:rPr>
      </w:pPr>
    </w:p>
    <w:p>
      <w:pPr>
        <w:ind w:right="200" w:firstLine="436"/>
        <w:spacing w:after="0" w:line="286"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165" w:lineRule="exact"/>
        <w:rPr>
          <w:rFonts w:ascii="Arial" w:cs="Arial" w:eastAsia="Arial" w:hAnsi="Arial"/>
          <w:sz w:val="17"/>
          <w:szCs w:val="17"/>
          <w:color w:val="auto"/>
        </w:rPr>
      </w:pPr>
    </w:p>
    <w:p>
      <w:pPr>
        <w:ind w:right="300" w:firstLine="436"/>
        <w:spacing w:after="0" w:line="277" w:lineRule="auto"/>
        <w:tabs>
          <w:tab w:leader="none" w:pos="8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clause (c) of the definition of “Benchmark Transition Event,” the date of the public statement or publication of information referenced therein;</w:t>
      </w:r>
    </w:p>
    <w:p>
      <w:pPr>
        <w:spacing w:after="0" w:line="170" w:lineRule="exact"/>
        <w:rPr>
          <w:rFonts w:ascii="Arial" w:cs="Arial" w:eastAsia="Arial" w:hAnsi="Arial"/>
          <w:sz w:val="18"/>
          <w:szCs w:val="18"/>
          <w:color w:val="auto"/>
        </w:rPr>
      </w:pPr>
    </w:p>
    <w:p>
      <w:pPr>
        <w:ind w:right="240" w:firstLine="43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 the case of a Term SOFR Transition Event, the date that is thirty (30) days after the Administrative Agent has provided the Term SOFR Notice to the Lenders and Centuri pursuant to </w:t>
      </w:r>
      <w:r>
        <w:rPr>
          <w:rFonts w:ascii="Arial" w:cs="Arial" w:eastAsia="Arial" w:hAnsi="Arial"/>
          <w:sz w:val="18"/>
          <w:szCs w:val="18"/>
          <w:u w:val="single" w:color="auto"/>
          <w:color w:val="auto"/>
        </w:rPr>
        <w:t>Section 5.8(c)(i)(B)</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right="100" w:firstLine="436"/>
        <w:spacing w:after="0" w:line="259" w:lineRule="auto"/>
        <w:tabs>
          <w:tab w:leader="none" w:pos="8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w:t>
      </w:r>
      <w:r>
        <w:rPr>
          <w:rFonts w:ascii="Arial" w:cs="Arial" w:eastAsia="Arial" w:hAnsi="Arial"/>
          <w:sz w:val="15"/>
          <w:szCs w:val="15"/>
          <w:color w:val="auto"/>
        </w:rPr>
        <w:t>th</w:t>
      </w:r>
      <w:r>
        <w:rPr>
          <w:rFonts w:ascii="Arial" w:cs="Arial" w:eastAsia="Arial" w:hAnsi="Arial"/>
          <w:sz w:val="18"/>
          <w:szCs w:val="18"/>
          <w:color w:val="auto"/>
        </w:rPr>
        <w:t>) Business Day after the date notice of such Early Opt-in Election is provided to the Lenders and Centuri, so long as the Administrative Agent has not received, by 5:00 p.m. (New York City time) on the fifth (5</w:t>
      </w:r>
      <w:r>
        <w:rPr>
          <w:rFonts w:ascii="Arial" w:cs="Arial" w:eastAsia="Arial" w:hAnsi="Arial"/>
          <w:sz w:val="15"/>
          <w:szCs w:val="15"/>
          <w:color w:val="auto"/>
        </w:rPr>
        <w:t>th</w:t>
      </w:r>
      <w:r>
        <w:rPr>
          <w:rFonts w:ascii="Arial" w:cs="Arial" w:eastAsia="Arial" w:hAnsi="Arial"/>
          <w:sz w:val="18"/>
          <w:szCs w:val="18"/>
          <w:color w:val="auto"/>
        </w:rPr>
        <w:t>)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237" w:lineRule="exact"/>
        <w:rPr>
          <w:sz w:val="20"/>
          <w:szCs w:val="20"/>
          <w:color w:val="auto"/>
        </w:rPr>
      </w:pPr>
    </w:p>
    <w:p>
      <w:pPr>
        <w:ind w:firstLine="436"/>
        <w:spacing w:after="0" w:line="279"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w:t>
      </w:r>
    </w:p>
    <w:p>
      <w:pPr>
        <w:spacing w:after="0" w:line="171" w:lineRule="exact"/>
        <w:rPr>
          <w:rFonts w:ascii="Arial" w:cs="Arial" w:eastAsia="Arial" w:hAnsi="Arial"/>
          <w:sz w:val="17"/>
          <w:szCs w:val="17"/>
          <w:color w:val="auto"/>
        </w:rPr>
      </w:pPr>
    </w:p>
    <w:p>
      <w:pPr>
        <w:ind w:right="400" w:firstLine="436"/>
        <w:spacing w:after="0" w:line="277" w:lineRule="auto"/>
        <w:tabs>
          <w:tab w:leader="none" w:pos="8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FRB,</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21" w:name="page22"/>
    <w:bookmarkEnd w:id="21"/>
    <w:p>
      <w:pPr>
        <w:ind w:left="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as of a specific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2" w:lineRule="exact"/>
        <w:rPr>
          <w:sz w:val="20"/>
          <w:szCs w:val="20"/>
          <w:color w:val="auto"/>
        </w:rPr>
      </w:pPr>
    </w:p>
    <w:p>
      <w:pPr>
        <w:ind w:left="4" w:right="400" w:firstLine="436"/>
        <w:spacing w:after="0" w:line="263" w:lineRule="auto"/>
        <w:tabs>
          <w:tab w:leader="none" w:pos="8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4"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the period (if any) (x) beginning at the time that a Benchmark Replacement Date pursuant to clauses</w:t>
      </w:r>
    </w:p>
    <w:p>
      <w:pPr>
        <w:spacing w:after="0" w:line="46" w:lineRule="exact"/>
        <w:rPr>
          <w:sz w:val="20"/>
          <w:szCs w:val="20"/>
          <w:color w:val="auto"/>
        </w:rPr>
      </w:pPr>
    </w:p>
    <w:p>
      <w:pPr>
        <w:ind w:left="4" w:right="120" w:hanging="4"/>
        <w:spacing w:after="0" w:line="277" w:lineRule="auto"/>
        <w:tabs>
          <w:tab w:leader="none" w:pos="249"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or (b) of that definition has occurred if, at such time, no Benchmark Replacement has replaced the then-current Benchmark for all purposes hereunder and under any Loan Document in accordance with </w:t>
      </w:r>
      <w:r>
        <w:rPr>
          <w:rFonts w:ascii="Arial" w:cs="Arial" w:eastAsia="Arial" w:hAnsi="Arial"/>
          <w:sz w:val="17"/>
          <w:szCs w:val="17"/>
          <w:u w:val="single" w:color="auto"/>
          <w:color w:val="auto"/>
        </w:rPr>
        <w:t>Section 5.8(c)</w:t>
      </w:r>
      <w:r>
        <w:rPr>
          <w:rFonts w:ascii="Arial" w:cs="Arial" w:eastAsia="Arial" w:hAnsi="Arial"/>
          <w:sz w:val="17"/>
          <w:szCs w:val="17"/>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17"/>
          <w:szCs w:val="17"/>
          <w:u w:val="single" w:color="auto"/>
          <w:color w:val="auto"/>
        </w:rPr>
        <w:t>Section 5.8(c)</w:t>
      </w:r>
      <w:r>
        <w:rPr>
          <w:rFonts w:ascii="Arial" w:cs="Arial" w:eastAsia="Arial" w:hAnsi="Arial"/>
          <w:sz w:val="17"/>
          <w:szCs w:val="17"/>
          <w:color w:val="auto"/>
        </w:rPr>
        <w:t>.</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means any certification regarding beneficial ownership as required by the Beneficial Ownership Regulation.</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collectively, the US Borrowers and the Canadian Borrowers.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w:t>
      </w:r>
    </w:p>
    <w:p>
      <w:pPr>
        <w:spacing w:after="0" w:line="225" w:lineRule="exact"/>
        <w:rPr>
          <w:sz w:val="20"/>
          <w:szCs w:val="20"/>
          <w:color w:val="auto"/>
        </w:rPr>
      </w:pPr>
    </w:p>
    <w:p>
      <w:pPr>
        <w:ind w:left="4" w:right="460" w:firstLine="436"/>
        <w:spacing w:after="0" w:line="277" w:lineRule="auto"/>
        <w:tabs>
          <w:tab w:leader="none" w:pos="8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all purposes other than as set forth in clause (b) below, any day (other than a Saturday, Sunday or legal holiday) on which banks in Charlotte, North Carolina and New York, New York, are open for the conduct of their commercial banking business;</w:t>
      </w:r>
    </w:p>
    <w:p>
      <w:pPr>
        <w:spacing w:after="0" w:line="170" w:lineRule="exact"/>
        <w:rPr>
          <w:rFonts w:ascii="Arial" w:cs="Arial" w:eastAsia="Arial" w:hAnsi="Arial"/>
          <w:sz w:val="18"/>
          <w:szCs w:val="18"/>
          <w:color w:val="auto"/>
        </w:rPr>
      </w:pPr>
    </w:p>
    <w:p>
      <w:pPr>
        <w:ind w:left="4" w:right="20" w:firstLine="436"/>
        <w:spacing w:after="0" w:line="263" w:lineRule="auto"/>
        <w:tabs>
          <w:tab w:leader="none" w:pos="8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all notices and determinations in connection with, and payments of principal and interest on, any LIBOR Rate Loan, or any Base Rate Loan as to which the interest rate is determined by reference to LIBOR, any day that is a Business Day described in clause (a) and that is also a London Banking Day; and</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22" w:name="page23"/>
    <w:bookmarkEnd w:id="22"/>
    <w:p>
      <w:pPr>
        <w:ind w:left="4" w:right="120" w:firstLine="436"/>
        <w:spacing w:after="0" w:line="342" w:lineRule="auto"/>
        <w:tabs>
          <w:tab w:leader="none" w:pos="824"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all notices and determinations in connection with, and payments of principal and interest on, any Canadian Revolving Credit Loan, any day that is a Business Day described in clause (a) and on which banks are open for business in London, England and Toronto, Canada.</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Date</w:t>
      </w:r>
      <w:r>
        <w:rPr>
          <w:rFonts w:ascii="Arial" w:cs="Arial" w:eastAsia="Arial" w:hAnsi="Arial"/>
          <w:sz w:val="18"/>
          <w:szCs w:val="18"/>
          <w:color w:val="auto"/>
        </w:rPr>
        <w:t>” has the meaning assigned thereto in the definition of Applicable Margin.</w:t>
      </w:r>
    </w:p>
    <w:p>
      <w:pPr>
        <w:spacing w:after="0" w:line="225" w:lineRule="exact"/>
        <w:rPr>
          <w:sz w:val="20"/>
          <w:szCs w:val="20"/>
          <w:color w:val="auto"/>
        </w:rPr>
      </w:pPr>
    </w:p>
    <w:p>
      <w:pPr>
        <w:jc w:val="both"/>
        <w:ind w:left="4" w:right="4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AML Laws</w:t>
      </w:r>
      <w:r>
        <w:rPr>
          <w:rFonts w:ascii="Arial" w:cs="Arial" w:eastAsia="Arial" w:hAnsi="Arial"/>
          <w:sz w:val="16"/>
          <w:szCs w:val="16"/>
          <w:color w:val="auto"/>
        </w:rPr>
        <w:t>” means the Proceeds of Crime (Money Laundering) and Terrorist Financing Act (Canada), as amended, and any other applicable anti-money laundering, anti-terrorist financing, government sanction and “know your client” laws in effect in Canada from time to time.</w:t>
      </w:r>
    </w:p>
    <w:p>
      <w:pPr>
        <w:spacing w:after="0" w:line="124"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Base Rate</w:t>
      </w:r>
      <w:r>
        <w:rPr>
          <w:rFonts w:ascii="Arial" w:cs="Arial" w:eastAsia="Arial" w:hAnsi="Arial"/>
          <w:sz w:val="17"/>
          <w:szCs w:val="17"/>
          <w:color w:val="auto"/>
        </w:rPr>
        <w:t xml:space="preserve">” means at any time, the greater of (a) the Canadian Prime Rate and (b) except during any period of time during which a notice delivered to Centuri under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shall remain in effect, the annual rate of interest equal to the sum of (i) the CDOR Rate for an Interest Period of one month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one percent (1%) per annum; each change in the Canadian Base Rate shall take effect simultaneously with the corresponding change or changes in the Canadian Prime Rate or the CDOR Rate, as applicable.</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Base Rate Loan</w:t>
      </w:r>
      <w:r>
        <w:rPr>
          <w:rFonts w:ascii="Arial" w:cs="Arial" w:eastAsia="Arial" w:hAnsi="Arial"/>
          <w:sz w:val="16"/>
          <w:szCs w:val="16"/>
          <w:color w:val="auto"/>
        </w:rPr>
        <w:t xml:space="preserve">” means any Canadian Loan bearing interest at a rate based upon the Canadian Base Rate as provided in </w:t>
      </w:r>
      <w:r>
        <w:rPr>
          <w:rFonts w:ascii="Arial" w:cs="Arial" w:eastAsia="Arial" w:hAnsi="Arial"/>
          <w:sz w:val="16"/>
          <w:szCs w:val="16"/>
          <w:u w:val="single" w:color="auto"/>
          <w:color w:val="auto"/>
        </w:rPr>
        <w:t>Section 5.1(a)</w:t>
      </w:r>
      <w:r>
        <w:rPr>
          <w:rFonts w:ascii="Arial" w:cs="Arial" w:eastAsia="Arial" w:hAnsi="Arial"/>
          <w:sz w:val="16"/>
          <w:szCs w:val="16"/>
          <w:color w:val="auto"/>
        </w:rPr>
        <w:t>.</w:t>
      </w:r>
    </w:p>
    <w:p>
      <w:pPr>
        <w:spacing w:after="0" w:line="24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Borrowers</w:t>
      </w:r>
      <w:r>
        <w:rPr>
          <w:rFonts w:ascii="Arial" w:cs="Arial" w:eastAsia="Arial" w:hAnsi="Arial"/>
          <w:sz w:val="18"/>
          <w:szCs w:val="18"/>
          <w:color w:val="auto"/>
        </w:rPr>
        <w:t>” means, collectively, Centuri Canada and each Additional Borrower approved by the Lenders that becomes a party hereto as a Canadian Borrower.</w:t>
      </w:r>
    </w:p>
    <w:p>
      <w:pPr>
        <w:spacing w:after="0" w:line="170"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Cash Management Bank</w:t>
      </w:r>
      <w:r>
        <w:rPr>
          <w:rFonts w:ascii="Arial" w:cs="Arial" w:eastAsia="Arial" w:hAnsi="Arial"/>
          <w:sz w:val="17"/>
          <w:szCs w:val="17"/>
          <w:color w:val="auto"/>
        </w:rPr>
        <w:t>” means any Person that, (a) at the time it enters into a Cash Management Agreement with a Canadian Credit Party or a Foreign Subsidiary, is a Lender, an Affiliate of a Lender, the Administrative Agent or an Affiliate of the Administrative Agent, or (b) at the time it (or its Affiliate) becomes a Lender (including on the Closing Date), is a party to a Cash Management Agreement with a Canadian Credit Party or a Foreign Subsidiary, in each case in its capacity as a party to such Cash Management Agreement.</w:t>
      </w:r>
    </w:p>
    <w:p>
      <w:pPr>
        <w:spacing w:after="0" w:line="171" w:lineRule="exact"/>
        <w:rPr>
          <w:sz w:val="20"/>
          <w:szCs w:val="20"/>
          <w:color w:val="auto"/>
        </w:rPr>
      </w:pPr>
    </w:p>
    <w:p>
      <w:pPr>
        <w:ind w:left="4" w:right="5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Collateral Agreement</w:t>
      </w:r>
      <w:r>
        <w:rPr>
          <w:rFonts w:ascii="Arial" w:cs="Arial" w:eastAsia="Arial" w:hAnsi="Arial"/>
          <w:sz w:val="16"/>
          <w:szCs w:val="16"/>
          <w:color w:val="auto"/>
        </w:rPr>
        <w:t>” means that certain Second Amended and Restated Canadian Collateral Agreement of even date herewith executed by the Canadian Credit Parties in favor of the Administrative Agent, for the ratable benefit of the Canadian Secured Parties.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Credit Parties</w:t>
      </w:r>
      <w:r>
        <w:rPr>
          <w:rFonts w:ascii="Arial" w:cs="Arial" w:eastAsia="Arial" w:hAnsi="Arial"/>
          <w:sz w:val="18"/>
          <w:szCs w:val="18"/>
          <w:color w:val="auto"/>
        </w:rPr>
        <w:t>” means, collectively, the Canadian Borrowers and the Canadian Subsidiary Guarantors.</w:t>
      </w:r>
    </w:p>
    <w:p>
      <w:pPr>
        <w:spacing w:after="0" w:line="225" w:lineRule="exact"/>
        <w:rPr>
          <w:sz w:val="20"/>
          <w:szCs w:val="20"/>
          <w:color w:val="auto"/>
        </w:rPr>
      </w:pPr>
    </w:p>
    <w:p>
      <w:pPr>
        <w:ind w:left="4"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Credit Party Guarantee Agreement</w:t>
      </w:r>
      <w:r>
        <w:rPr>
          <w:rFonts w:ascii="Arial" w:cs="Arial" w:eastAsia="Arial" w:hAnsi="Arial"/>
          <w:sz w:val="16"/>
          <w:szCs w:val="16"/>
          <w:color w:val="auto"/>
        </w:rPr>
        <w:t>” means that certain Amended and Restated Canadian Credit Party Guarantee Agreement dated as of the date hereof executed by the Canadian Credit Parties in favor of the Administrative Agent, for the ratable benefit of the Canadian Secured Parties.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w:t>
      </w:r>
      <w:r>
        <w:rPr>
          <w:rFonts w:ascii="Arial" w:cs="Arial" w:eastAsia="Arial" w:hAnsi="Arial"/>
          <w:sz w:val="18"/>
          <w:szCs w:val="18"/>
          <w:color w:val="auto"/>
        </w:rPr>
        <w:t>” or “</w:t>
      </w:r>
      <w:r>
        <w:rPr>
          <w:rFonts w:ascii="Arial" w:cs="Arial" w:eastAsia="Arial" w:hAnsi="Arial"/>
          <w:sz w:val="18"/>
          <w:szCs w:val="18"/>
          <w:u w:val="single" w:color="auto"/>
          <w:color w:val="auto"/>
        </w:rPr>
        <w:t>C$</w:t>
      </w:r>
      <w:r>
        <w:rPr>
          <w:rFonts w:ascii="Arial" w:cs="Arial" w:eastAsia="Arial" w:hAnsi="Arial"/>
          <w:sz w:val="18"/>
          <w:szCs w:val="18"/>
          <w:color w:val="auto"/>
        </w:rPr>
        <w:t>” means, at the time of determination, the lawful currency of Canada.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Employee Benefit Plan</w:t>
      </w:r>
      <w:r>
        <w:rPr>
          <w:rFonts w:ascii="Arial" w:cs="Arial" w:eastAsia="Arial" w:hAnsi="Arial"/>
          <w:sz w:val="18"/>
          <w:szCs w:val="18"/>
          <w:color w:val="auto"/>
        </w:rPr>
        <w:t>” means any Canadian Pension Plan or Canadian Multiemployer Plan.</w:t>
      </w:r>
    </w:p>
    <w:p>
      <w:pPr>
        <w:spacing w:after="0" w:line="225" w:lineRule="exact"/>
        <w:rPr>
          <w:sz w:val="20"/>
          <w:szCs w:val="20"/>
          <w:color w:val="auto"/>
        </w:rPr>
      </w:pPr>
    </w:p>
    <w:p>
      <w:pPr>
        <w:ind w:left="4" w:right="3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Hedge Bank</w:t>
      </w:r>
      <w:r>
        <w:rPr>
          <w:rFonts w:ascii="Arial" w:cs="Arial" w:eastAsia="Arial" w:hAnsi="Arial"/>
          <w:sz w:val="16"/>
          <w:szCs w:val="16"/>
          <w:color w:val="auto"/>
        </w:rPr>
        <w:t xml:space="preserve">” means any Person that, (a) at the time it enters into a Hedge Agreement with a Canadian Credit Party or a Foreign Subsidiary permitted under </w:t>
      </w:r>
      <w:r>
        <w:rPr>
          <w:rFonts w:ascii="Arial" w:cs="Arial" w:eastAsia="Arial" w:hAnsi="Arial"/>
          <w:sz w:val="16"/>
          <w:szCs w:val="16"/>
          <w:u w:val="single" w:color="auto"/>
          <w:color w:val="auto"/>
        </w:rPr>
        <w:t>Article IX</w:t>
      </w:r>
      <w:r>
        <w:rPr>
          <w:rFonts w:ascii="Arial" w:cs="Arial" w:eastAsia="Arial" w:hAnsi="Arial"/>
          <w:sz w:val="16"/>
          <w:szCs w:val="16"/>
          <w:color w:val="auto"/>
        </w:rPr>
        <w:t>, is a Lender, an Affiliate of a Lender, the Administrative Agent or an Affiliate of the Administrative Agent or</w:t>
      </w:r>
    </w:p>
    <w:p>
      <w:pPr>
        <w:ind w:left="4" w:right="120" w:hanging="4"/>
        <w:spacing w:after="0" w:line="260"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time it (or its Affiliate) becomes a Lender (including on the Closing Date), is a party to a Hedge Agreement with a Canadian Credit Party or a Foreign Subsidiary, in each case in its capacity as a party to such Hedge Agreement.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3" w:name="page24"/>
    <w:bookmarkEnd w:id="23"/>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Canadian L/C Obligations</w:t>
      </w:r>
      <w:r>
        <w:rPr>
          <w:rFonts w:ascii="Arial" w:cs="Arial" w:eastAsia="Arial" w:hAnsi="Arial"/>
          <w:sz w:val="18"/>
          <w:szCs w:val="18"/>
          <w:color w:val="auto"/>
        </w:rPr>
        <w:t xml:space="preserve">” means at any time, an amount equal to the sum of (a) the aggregate undrawn and unexpired amount of the then outstanding Canadian Letters of Credit and (b) the aggregate amount of drawings under Canadian Letters of Credit which have not then been reimbursed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84"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Letters of Credit</w:t>
      </w:r>
      <w:r>
        <w:rPr>
          <w:rFonts w:ascii="Arial" w:cs="Arial" w:eastAsia="Arial" w:hAnsi="Arial"/>
          <w:sz w:val="16"/>
          <w:szCs w:val="16"/>
          <w:color w:val="auto"/>
        </w:rPr>
        <w:t xml:space="preserve">” means the collective reference to letters of credit denominated in Canadian Dollars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“Canadian Letter of Credit” for purposes of the Loan Documents until such time as the Administrative Agent has been notified in writing of the issuance thereof by the applicable Issuing Lender.</w:t>
      </w:r>
    </w:p>
    <w:p>
      <w:pPr>
        <w:spacing w:after="0" w:line="157"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Multiemployer Plan</w:t>
      </w:r>
      <w:r>
        <w:rPr>
          <w:rFonts w:ascii="Arial" w:cs="Arial" w:eastAsia="Arial" w:hAnsi="Arial"/>
          <w:sz w:val="17"/>
          <w:szCs w:val="17"/>
          <w:color w:val="auto"/>
        </w:rPr>
        <w:t>” means a “multi-employer pension plan” as defined by Canadian Pension Laws and registered in accordance with Canadian Pension Laws and as to which any Credit Party or any Subsidiary thereof is making, or is accruing an obligation to make, or has accrued an obligation to make contributions within the preceding six (6) years, and shall not include any Multiemployer Plan.</w:t>
      </w:r>
    </w:p>
    <w:p>
      <w:pPr>
        <w:spacing w:after="0" w:line="165" w:lineRule="exact"/>
        <w:rPr>
          <w:sz w:val="20"/>
          <w:szCs w:val="20"/>
          <w:color w:val="auto"/>
        </w:rPr>
      </w:pPr>
    </w:p>
    <w:p>
      <w:pPr>
        <w:ind w:left="4" w:right="4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Obligations</w:t>
      </w:r>
      <w:r>
        <w:rPr>
          <w:rFonts w:ascii="Arial" w:cs="Arial" w:eastAsia="Arial" w:hAnsi="Arial"/>
          <w:sz w:val="16"/>
          <w:szCs w:val="16"/>
          <w:color w:val="auto"/>
        </w:rPr>
        <w:t>” means, in each case, whether now in existence or hereafter arising: (a) the principal of and interest on (including interest accruing after the filing of any bankruptcy or similar petition) the Canadian Revolving Credit Loans, Canadian Swingline Loans and, to the extent applicable, any Incremental Term Loan made to the Canadian Borrowers, (b) the Canadian L/C Obligations and (c) all other fees and commissions (including attorneys’ fees), charges, indebtedness, loans, liabilities, financial accommodations, obligations, covenants and duties owing by the Canadian Credit Parties to the Term Loan Lenders, Revolving Credit Lenders, the applicable Swingline Lender or the Administrative Agent, in each case under any Loan Document, with respect to any Canadian Revolving Credit Loan, any Canadian Swingline Loan, any Canadian Letter of Credit and, to the extent applicable, any Incremental Term Loan made to the Canadian Borrowers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68" w:lineRule="exact"/>
        <w:rPr>
          <w:sz w:val="20"/>
          <w:szCs w:val="20"/>
          <w:color w:val="auto"/>
        </w:rPr>
      </w:pPr>
    </w:p>
    <w:p>
      <w:pPr>
        <w:ind w:left="4"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Pension Laws</w:t>
      </w:r>
      <w:r>
        <w:rPr>
          <w:rFonts w:ascii="Arial" w:cs="Arial" w:eastAsia="Arial" w:hAnsi="Arial"/>
          <w:sz w:val="17"/>
          <w:szCs w:val="17"/>
          <w:color w:val="auto"/>
        </w:rPr>
        <w:t>” means the Pensions Benefit Act (Ontario), the ITA and any other Canadian federal or provincial pension benefits standards legislation and the regulations thereunder applicable to a Canadian Pension Plan or a Canadian Multiemployer Plan.</w:t>
      </w:r>
    </w:p>
    <w:p>
      <w:pPr>
        <w:spacing w:after="0" w:line="146"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Pension Plan</w:t>
      </w:r>
      <w:r>
        <w:rPr>
          <w:rFonts w:ascii="Arial" w:cs="Arial" w:eastAsia="Arial" w:hAnsi="Arial"/>
          <w:sz w:val="16"/>
          <w:szCs w:val="16"/>
          <w:color w:val="auto"/>
        </w:rPr>
        <w:t>” means any “registered pension plan” as defined under Section 248(l) of the ITA or any other registered or unregistered pension, or retirement or retirement savings plan and which (a) is sponsored, maintained, funded, contributed to or required to be contributed to, or administered for the employees or former employees of any Credit Party or any Subsidiary thereof or (b) has at any time within the preceding six</w:t>
      </w:r>
    </w:p>
    <w:p>
      <w:pPr>
        <w:spacing w:after="0" w:line="2" w:lineRule="exact"/>
        <w:rPr>
          <w:sz w:val="20"/>
          <w:szCs w:val="20"/>
          <w:color w:val="auto"/>
        </w:rPr>
      </w:pPr>
    </w:p>
    <w:p>
      <w:pPr>
        <w:ind w:left="4" w:right="60" w:hanging="4"/>
        <w:spacing w:after="0" w:line="290" w:lineRule="auto"/>
        <w:tabs>
          <w:tab w:leader="none" w:pos="2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years been sponsored, maintained, funded, contributed to or required to be contributed to, or administered for the employees or former employees of any Credit Party or any Subsidiary thereof, and shall not include any Pension Plan, other than a Canadian Multiemployer Plan.</w:t>
      </w:r>
    </w:p>
    <w:p>
      <w:pPr>
        <w:spacing w:after="0" w:line="161"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 Unfunded Liability</w:t>
      </w:r>
      <w:r>
        <w:rPr>
          <w:rFonts w:ascii="Arial" w:cs="Arial" w:eastAsia="Arial" w:hAnsi="Arial"/>
          <w:sz w:val="18"/>
          <w:szCs w:val="18"/>
          <w:color w:val="auto"/>
        </w:rPr>
        <w:t xml:space="preserve">” means an unfunded liability in respect of any Canadian Pension Plan, including a going concern unfunded liability, solvency deficiency, reduced solvency deficiency or wind-up deficiency, in each case, as reported in the most recent valuation report delivered under </w:t>
      </w:r>
      <w:r>
        <w:rPr>
          <w:rFonts w:ascii="Arial" w:cs="Arial" w:eastAsia="Arial" w:hAnsi="Arial"/>
          <w:sz w:val="18"/>
          <w:szCs w:val="18"/>
          <w:u w:val="single" w:color="auto"/>
          <w:color w:val="auto"/>
        </w:rPr>
        <w:t>Section 8.2(j)</w:t>
      </w:r>
      <w:r>
        <w:rPr>
          <w:rFonts w:ascii="Arial" w:cs="Arial" w:eastAsia="Arial" w:hAnsi="Arial"/>
          <w:sz w:val="18"/>
          <w:szCs w:val="18"/>
          <w:color w:val="auto"/>
        </w:rPr>
        <w:t xml:space="preserve"> in respect of such Canadian Pension Plan.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4" w:name="page25"/>
    <w:bookmarkEnd w:id="24"/>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means the rate of interest publicly announced from time to time by the Canadian Reference Bank as its prime rate in effect for determining interest rates on Canadian Dollar denominated commercial loans in Canada (which such rate is not necessarily the most favored rate of the Canadian Reference Bank and the Canadian Reference Bank may lend to its customers at rates that are at, above or below such rate) or, if the Canadian Reference Bank ceases to announce a rate so designated, any similar successor rate designated by the Administrative Agent.</w:t>
      </w:r>
    </w:p>
    <w:p>
      <w:pPr>
        <w:spacing w:after="0" w:line="157" w:lineRule="exact"/>
        <w:rPr>
          <w:sz w:val="20"/>
          <w:szCs w:val="20"/>
          <w:color w:val="auto"/>
        </w:rPr>
      </w:pPr>
    </w:p>
    <w:p>
      <w:pPr>
        <w:ind w:right="5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Reference Bank</w:t>
      </w:r>
      <w:r>
        <w:rPr>
          <w:rFonts w:ascii="Arial" w:cs="Arial" w:eastAsia="Arial" w:hAnsi="Arial"/>
          <w:sz w:val="17"/>
          <w:szCs w:val="17"/>
          <w:color w:val="auto"/>
        </w:rPr>
        <w:t>” means any one or more of The Bank of Nova Scotia, Bank of Montreal, Royal Bank of Canada, The Toronto-Dominion Bank, Canadian Imperial Bank of Commerce or National Bank of Canada, as the Administrative Agent may determine.</w:t>
      </w:r>
    </w:p>
    <w:p>
      <w:pPr>
        <w:spacing w:after="0" w:line="146"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Revolving Credit Loan</w:t>
      </w:r>
      <w:r>
        <w:rPr>
          <w:rFonts w:ascii="Arial" w:cs="Arial" w:eastAsia="Arial" w:hAnsi="Arial"/>
          <w:sz w:val="16"/>
          <w:szCs w:val="16"/>
          <w:color w:val="auto"/>
        </w:rPr>
        <w:t xml:space="preserve">” means any revolving loan denominated in Canadian Dollars made to the Canadian Borrowers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and all such revolving loans collectively as the context requires, and shall include any Extended Revolving Credit Loans, any Refinancing Revolving Loans and any loans made pursuant to an Incremental Revolving Credit Facility Increase, in each case, related to such loans.</w:t>
      </w:r>
    </w:p>
    <w:p>
      <w:pPr>
        <w:spacing w:after="0" w:line="14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Credit Note</w:t>
      </w:r>
      <w:r>
        <w:rPr>
          <w:rFonts w:ascii="Arial" w:cs="Arial" w:eastAsia="Arial" w:hAnsi="Arial"/>
          <w:sz w:val="18"/>
          <w:szCs w:val="18"/>
          <w:color w:val="auto"/>
        </w:rPr>
        <w:t xml:space="preserve">” means a promissory note made by the Canadian Borrowers in favor of a Revolving Credit Lender evidencing the Canadian Revolving Credit Loans made by such Revolving Credit Lender, substantially in the form attached as </w:t>
      </w:r>
      <w:r>
        <w:rPr>
          <w:rFonts w:ascii="Arial" w:cs="Arial" w:eastAsia="Arial" w:hAnsi="Arial"/>
          <w:sz w:val="18"/>
          <w:szCs w:val="18"/>
          <w:b w:val="1"/>
          <w:bCs w:val="1"/>
          <w:i w:val="1"/>
          <w:iCs w:val="1"/>
          <w:color w:val="auto"/>
        </w:rPr>
        <w:t>Exhibit A-2</w:t>
      </w:r>
      <w:r>
        <w:rPr>
          <w:rFonts w:ascii="Arial" w:cs="Arial" w:eastAsia="Arial" w:hAnsi="Arial"/>
          <w:sz w:val="18"/>
          <w:szCs w:val="18"/>
          <w:color w:val="auto"/>
        </w:rPr>
        <w:t>, and any substitutes therefor, and any replacements, restatements, renewals or extension thereof, in whole or in part.</w:t>
      </w:r>
    </w:p>
    <w:p>
      <w:pPr>
        <w:spacing w:after="0" w:line="184"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Secured Obligations</w:t>
      </w:r>
      <w:r>
        <w:rPr>
          <w:rFonts w:ascii="Arial" w:cs="Arial" w:eastAsia="Arial" w:hAnsi="Arial"/>
          <w:sz w:val="18"/>
          <w:szCs w:val="18"/>
          <w:color w:val="auto"/>
        </w:rPr>
        <w:t>” means, collectively, (a) the Canadian Obligations and (b) all existing or future payment and other obligations owing by any Canadian Credit Party or any Foreign Subsidiary under (i) any Secured Hedge Agreement with a Canadian Hedge Bank and (ii) any Secured Cash Management Agreement with a Canadian Cash Management Bank.</w:t>
      </w:r>
    </w:p>
    <w:p>
      <w:pPr>
        <w:spacing w:after="0" w:line="184"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Secured Parties</w:t>
      </w:r>
      <w:r>
        <w:rPr>
          <w:rFonts w:ascii="Arial" w:cs="Arial" w:eastAsia="Arial" w:hAnsi="Arial"/>
          <w:sz w:val="17"/>
          <w:szCs w:val="17"/>
          <w:color w:val="auto"/>
        </w:rPr>
        <w:t xml:space="preserve">” means, collectively, the Administrative Agent, the Lenders, the Canadian Hedge Banks, the Canadian Cash Management Banks, each co-agent or sub-agent appointed by the Administrative Agent from time to time pursuant to </w:t>
      </w:r>
      <w:r>
        <w:rPr>
          <w:rFonts w:ascii="Arial" w:cs="Arial" w:eastAsia="Arial" w:hAnsi="Arial"/>
          <w:sz w:val="17"/>
          <w:szCs w:val="17"/>
          <w:u w:val="single" w:color="auto"/>
          <w:color w:val="auto"/>
        </w:rPr>
        <w:t>Section 11.5</w:t>
      </w:r>
      <w:r>
        <w:rPr>
          <w:rFonts w:ascii="Arial" w:cs="Arial" w:eastAsia="Arial" w:hAnsi="Arial"/>
          <w:sz w:val="17"/>
          <w:szCs w:val="17"/>
          <w:color w:val="auto"/>
        </w:rPr>
        <w:t>, any other holder from time to time of any Canadian Secured Obligations and, in each case, their respective successors and permitted assigns.</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Subsidiary</w:t>
      </w:r>
      <w:r>
        <w:rPr>
          <w:rFonts w:ascii="Arial" w:cs="Arial" w:eastAsia="Arial" w:hAnsi="Arial"/>
          <w:sz w:val="18"/>
          <w:szCs w:val="18"/>
          <w:color w:val="auto"/>
        </w:rPr>
        <w:t>” means any Subsidiary of Centuri that is organized under the laws of Canada or any province or territory thereof, including, without limitation, the Canadian Borrowers.</w:t>
      </w:r>
    </w:p>
    <w:p>
      <w:pPr>
        <w:spacing w:after="0" w:line="170"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Subsidiary Guarantors</w:t>
      </w:r>
      <w:r>
        <w:rPr>
          <w:rFonts w:ascii="Arial" w:cs="Arial" w:eastAsia="Arial" w:hAnsi="Arial"/>
          <w:sz w:val="17"/>
          <w:szCs w:val="17"/>
          <w:color w:val="auto"/>
        </w:rPr>
        <w:t xml:space="preserve">” means, collectively, all direct and indirect Canadian Subsidiaries in existence on the Closing Date (other than the Canadian Borrowers) or which become a party to the Canadian Credit Party Guarantee Agreement pursuant to </w:t>
      </w:r>
      <w:r>
        <w:rPr>
          <w:rFonts w:ascii="Arial" w:cs="Arial" w:eastAsia="Arial" w:hAnsi="Arial"/>
          <w:sz w:val="17"/>
          <w:szCs w:val="17"/>
          <w:u w:val="single" w:color="auto"/>
          <w:color w:val="auto"/>
        </w:rPr>
        <w:t>Section 8.14</w:t>
      </w:r>
      <w:r>
        <w:rPr>
          <w:rFonts w:ascii="Arial" w:cs="Arial" w:eastAsia="Arial" w:hAnsi="Arial"/>
          <w:sz w:val="17"/>
          <w:szCs w:val="17"/>
          <w:color w:val="auto"/>
        </w:rPr>
        <w:t>.</w:t>
      </w:r>
    </w:p>
    <w:p>
      <w:pPr>
        <w:spacing w:after="0" w:line="14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Swingline Loan</w:t>
      </w:r>
      <w:r>
        <w:rPr>
          <w:rFonts w:ascii="Arial" w:cs="Arial" w:eastAsia="Arial" w:hAnsi="Arial"/>
          <w:sz w:val="18"/>
          <w:szCs w:val="18"/>
          <w:color w:val="auto"/>
        </w:rPr>
        <w:t xml:space="preserve">” means any swingline loan denominated in Canadian Dollars made by the applicable Swingline Lender to a Canadian Borrower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and all such swingline loans collectively as the context requires.</w:t>
      </w:r>
    </w:p>
    <w:p>
      <w:pPr>
        <w:spacing w:after="0" w:line="170"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Swingline Note</w:t>
      </w:r>
      <w:r>
        <w:rPr>
          <w:rFonts w:ascii="Arial" w:cs="Arial" w:eastAsia="Arial" w:hAnsi="Arial"/>
          <w:sz w:val="18"/>
          <w:szCs w:val="18"/>
          <w:color w:val="auto"/>
        </w:rPr>
        <w:t xml:space="preserve">” means a promissory note made by the Canadian Borrowers in favor of the applicable Swingline Lender evidencing the Canadian Swingline Loans made by the Swingline Lender, substantially in the form attached as </w:t>
      </w:r>
      <w:r>
        <w:rPr>
          <w:rFonts w:ascii="Arial" w:cs="Arial" w:eastAsia="Arial" w:hAnsi="Arial"/>
          <w:sz w:val="18"/>
          <w:szCs w:val="18"/>
          <w:b w:val="1"/>
          <w:bCs w:val="1"/>
          <w:i w:val="1"/>
          <w:iCs w:val="1"/>
          <w:color w:val="auto"/>
        </w:rPr>
        <w:t>Exhibit A-4</w:t>
      </w:r>
      <w:r>
        <w:rPr>
          <w:rFonts w:ascii="Arial" w:cs="Arial" w:eastAsia="Arial" w:hAnsi="Arial"/>
          <w:sz w:val="18"/>
          <w:szCs w:val="18"/>
          <w:color w:val="auto"/>
        </w:rPr>
        <w:t>, and any substitutes therefor, and any replacements, restatements, renewals or extension thereof, in whole or in part.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5" w:name="page26"/>
    <w:bookmarkEnd w:id="25"/>
    <w:p>
      <w:pPr>
        <w:ind w:left="4"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Canadian Term Loan Note</w:t>
      </w:r>
      <w:r>
        <w:rPr>
          <w:rFonts w:ascii="Arial" w:cs="Arial" w:eastAsia="Arial" w:hAnsi="Arial"/>
          <w:sz w:val="18"/>
          <w:szCs w:val="18"/>
          <w:color w:val="auto"/>
        </w:rPr>
        <w:t xml:space="preserve">” means a promissory note made by any Canadian Borrower in favor of a Term Loan Lender evidencing the portion of any Incremental Term Loans made to such Canadian Borrower by such Term Loan Lender, substantially in the form attached as </w:t>
      </w:r>
      <w:r>
        <w:rPr>
          <w:rFonts w:ascii="Arial" w:cs="Arial" w:eastAsia="Arial" w:hAnsi="Arial"/>
          <w:sz w:val="18"/>
          <w:szCs w:val="18"/>
          <w:b w:val="1"/>
          <w:bCs w:val="1"/>
          <w:i w:val="1"/>
          <w:iCs w:val="1"/>
          <w:color w:val="auto"/>
        </w:rPr>
        <w:t>Exhibit A-6</w:t>
      </w:r>
      <w:r>
        <w:rPr>
          <w:rFonts w:ascii="Arial" w:cs="Arial" w:eastAsia="Arial" w:hAnsi="Arial"/>
          <w:sz w:val="18"/>
          <w:szCs w:val="18"/>
          <w:color w:val="auto"/>
        </w:rPr>
        <w:t>, and any substitutes therefor, and any replacements, restatements or extensions thereof, in whole or in part.</w:t>
      </w:r>
    </w:p>
    <w:p>
      <w:pPr>
        <w:spacing w:after="0" w:line="184"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Termination Event</w:t>
      </w:r>
      <w:r>
        <w:rPr>
          <w:rFonts w:ascii="Arial" w:cs="Arial" w:eastAsia="Arial" w:hAnsi="Arial"/>
          <w:sz w:val="16"/>
          <w:szCs w:val="16"/>
          <w:color w:val="auto"/>
        </w:rPr>
        <w:t>” means a Canadian Pension Plan Unfunded Liability in excess of the Threshold Amount or the occurrence of any of the following which, individually or in the aggregate, has resulted or could reasonably be expected to result in liability of any Credit Party or any Subsidiary thereof in an aggregate amount in excess of the Threshold Amount: (a) the institution of any steps by any Governmental Authority to order the termination or wind-up, in full or in part, of any Canadian Employee Benefit Plan, (b) the institution of any steps by a Credit Party to terminate, in full or in part, any Canadian Pension Plan if such plan has a Canadian Pension Plan Unfunded Liability, (c) an event respecting any Canadian Employee Benefit Plan which could reasonably be expected to result in the revocation of the registration of such Canadian Employee Benefit Plan which could otherwise reasonably be expected to adversely affect the Tax status of any such Canadian Employee Benefit Plan, (d) any event or condition which would reasonably constitute grounds under Canadian Pension Laws for the full or partial termination of, or the appointment of a trustee or replacement administrator to administer, any Canadian Employee Benefit Plan, (e) the partial or complete withdrawal of any Credit Party from a Canadian Multiemployer Plan if a withdrawal liability is asserted by such plan or by any Governmental Authority, or (f) any event or condition which results in the increase in the liability of any Credit Party or any Subsidiary thereof under a Canadian Multiemployer Plan.</w:t>
      </w:r>
    </w:p>
    <w:p>
      <w:pPr>
        <w:spacing w:after="0" w:line="172"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the Consolidated Companies on a Consolidated basis, for any period, (a) the additions to property, plant and equipment and other capital expenditures that are (or would be) set forth in a consolidated statement of cash flows of such Person for such period prepared in accordance with GAAP and (b) Capital Lease Obligations during such period, but excluding expenditures for the restoration, repair or replacement of any fixed or capital asset which was destroyed or damaged, in whole or in part, to the extent financed by the proceeds of an insurance policy maintained by such Person.</w:t>
      </w:r>
    </w:p>
    <w:p>
      <w:pPr>
        <w:spacing w:after="0" w:line="188"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xml:space="preserve">” of any Person means, subject to </w:t>
      </w:r>
      <w:r>
        <w:rPr>
          <w:rFonts w:ascii="Arial" w:cs="Arial" w:eastAsia="Arial" w:hAnsi="Arial"/>
          <w:sz w:val="18"/>
          <w:szCs w:val="18"/>
          <w:u w:val="single" w:color="auto"/>
          <w:color w:val="auto"/>
        </w:rPr>
        <w:t>Section 1.3(b)</w:t>
      </w:r>
      <w:r>
        <w:rPr>
          <w:rFonts w:ascii="Arial" w:cs="Arial" w:eastAsia="Arial" w:hAnsi="Arial"/>
          <w:sz w:val="18"/>
          <w:szCs w:val="18"/>
          <w:color w:val="auto"/>
        </w:rPr>
        <w:t>, the obligations of such Person to pay rent or other amounts under any lease of (or other arrangement conveying the right to use) real or personal property, or a combination thereof, which obligations are required to be classified and accounted for as finance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deposit in a Controlled Account or to pledge and deposit with, or deliver to the Administrative Agent, or directly to the applicable Issuing Lender (with notice thereof to the Administrative Agent), for the benefit of one or more of the Issuing Lenders, one or both of the Swingline Lenders or the Lenders, as collateral for L/C Obligations or obligations of the Lenders to fund participations in respect of L/C Obligations or Swingline Loans, cash or deposit account balances or, if the Administrative Agent and the applicable Issuing Lender and/or the applicable Swingline Lender, as the case may be, shall agree, in their sole discretion, other credit support, in each case pursuant to documentation in form and substance satisfactory to the Administrative Agent, such Issuing Lender and/or such Swingline Lender, as applicable. “</w:t>
      </w:r>
      <w:r>
        <w:rPr>
          <w:rFonts w:ascii="Arial" w:cs="Arial" w:eastAsia="Arial" w:hAnsi="Arial"/>
          <w:sz w:val="17"/>
          <w:szCs w:val="17"/>
          <w:u w:val="single" w:color="auto"/>
          <w:color w:val="auto"/>
        </w:rPr>
        <w:t>Cash Collateral</w:t>
      </w:r>
      <w:r>
        <w:rPr>
          <w:rFonts w:ascii="Arial" w:cs="Arial" w:eastAsia="Arial" w:hAnsi="Arial"/>
          <w:sz w:val="17"/>
          <w:szCs w:val="17"/>
          <w:color w:val="auto"/>
        </w:rPr>
        <w:t>” shall have a meaning correlative to the foregoing and shall include the proceeds of such cash collateral and other credit support.</w:t>
      </w:r>
    </w:p>
    <w:p>
      <w:pPr>
        <w:spacing w:after="0" w:line="17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collectively, (a) marketable direct obligations issued or unconditionally guaranteed by Canada or the United States (or any agency thereof) maturing within one (1) year from the date of acquisition thereof, (b) commercial paper maturing no more than two hundred seventy</w:t>
      </w:r>
    </w:p>
    <w:p>
      <w:pPr>
        <w:ind w:left="4" w:hanging="4"/>
        <w:spacing w:after="0" w:line="260" w:lineRule="auto"/>
        <w:tabs>
          <w:tab w:leader="none" w:pos="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days from the date of creation thereof and currently having the highest rating obtainable from either S&amp;P or Moody’s (or, if at any time either S&amp;P or Moody’s are not rating such fund, an equivalent rating from</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6" w:name="page27"/>
    <w:bookmarkEnd w:id="26"/>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another nationally recognized statistical rating agency), (c) investments in certificates of deposit, banker’s acceptances, money market deposits and time deposits maturing within one hundred eighty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and having a long-term debt rating of “A” or better by S&amp;P or “A2” or better from Moody’s (or, if at any time either S&amp;P or Moody’s are not rating the debt of such bank, an equivalent rating from another nationally recognized statistical rating agency), (d) time deposits maturing no more than thirty (30) days from the date of creation thereof with commercial banks or savings banks or savings and loan associations each having membership either in the FDIC or the CDIC or the deposits of which are insured by the FDIC or the CDIC and in amounts not exceeding the maximum amounts of insurance thereunder, and (e) investments in any money market fund or money market mutual fund that has (i) substantially all of its assets invested in the types of investments referred to in clauses (a) through</w:t>
      </w:r>
    </w:p>
    <w:p>
      <w:pPr>
        <w:spacing w:after="0" w:line="6" w:lineRule="exact"/>
        <w:rPr>
          <w:sz w:val="20"/>
          <w:szCs w:val="20"/>
          <w:color w:val="auto"/>
        </w:rPr>
      </w:pPr>
    </w:p>
    <w:p>
      <w:pPr>
        <w:ind w:left="4" w:right="180" w:hanging="4"/>
        <w:spacing w:after="0" w:line="290" w:lineRule="auto"/>
        <w:tabs>
          <w:tab w:leader="none" w:pos="259" w:val="left"/>
        </w:tabs>
        <w:numPr>
          <w:ilvl w:val="0"/>
          <w:numId w:val="20"/>
        </w:numPr>
        <w:rPr>
          <w:rFonts w:ascii="Arial" w:cs="Arial" w:eastAsia="Arial" w:hAnsi="Arial"/>
          <w:sz w:val="17"/>
          <w:szCs w:val="17"/>
          <w:color w:val="auto"/>
        </w:rPr>
      </w:pPr>
      <w:r>
        <w:rPr>
          <w:rFonts w:ascii="Arial" w:cs="Arial" w:eastAsia="Arial" w:hAnsi="Arial"/>
          <w:sz w:val="17"/>
          <w:szCs w:val="17"/>
          <w:color w:val="auto"/>
        </w:rPr>
        <w:t>above, (ii) net assets of not less than $250,000,000 and (iii) a rating of at least A-2 from S&amp;P or at least P-2 from Moody’s (or, if at any time either S&amp;P or Moody’s are not rating such fund, an equivalent rating from another nationally recognized statistical rating agency).</w:t>
      </w:r>
    </w:p>
    <w:p>
      <w:pPr>
        <w:spacing w:after="0" w:line="161" w:lineRule="exact"/>
        <w:rPr>
          <w:sz w:val="20"/>
          <w:szCs w:val="20"/>
          <w:color w:val="auto"/>
        </w:rPr>
      </w:pPr>
    </w:p>
    <w:p>
      <w:pPr>
        <w:ind w:left="4" w:right="2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Agreement</w:t>
      </w:r>
      <w:r>
        <w:rPr>
          <w:rFonts w:ascii="Arial" w:cs="Arial" w:eastAsia="Arial" w:hAnsi="Arial"/>
          <w:sz w:val="16"/>
          <w:szCs w:val="16"/>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US Cash Management Bank or Canadian Cash Management Bank.</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CDIC</w:t>
      </w:r>
      <w:r>
        <w:rPr>
          <w:rFonts w:ascii="Arial" w:cs="Arial" w:eastAsia="Arial" w:hAnsi="Arial"/>
          <w:sz w:val="18"/>
          <w:szCs w:val="18"/>
          <w:color w:val="auto"/>
        </w:rPr>
        <w:t>” means the Canada Deposit Insurance Corporation.</w:t>
      </w:r>
    </w:p>
    <w:p>
      <w:pPr>
        <w:spacing w:after="0" w:line="225"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w:t>
      </w:r>
      <w:r>
        <w:rPr>
          <w:rFonts w:ascii="Arial" w:cs="Arial" w:eastAsia="Arial" w:hAnsi="Arial"/>
          <w:sz w:val="17"/>
          <w:szCs w:val="17"/>
          <w:color w:val="auto"/>
        </w:rPr>
        <w:t>” means the rate of interest per annum determined by the Administrative Agent on the basis of the rate applicable to Canadian Dollar bankers’ acceptances for the applicable Interest Period (or if such Interest Period is not equal to a number of months, for a term equivalent to the number of months closest to such Interest Period) appearing on the “CDOR Page”, or any successor page of Refinitiv Benchmark Services (UK) Limited (or such other page or commercially available source displaying Canadian interbank bid rates for Canadian Dollar bankers’ acceptances as may be designated by the Administrative Agent from time to time), as of 10:00 a.m. (Toronto, Ontario time) on the first day of the applicable Interest Period (or if such day is not a Business Day, then on the immediately preceding Business Day). Each calculation by the Administrative Agent of the CDOR Rate shall be conclusive and binding for all purposes, absent manifest error.</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the foregoing, if the CDOR Rate shall be less than zero, such rate shall be deemed to be zero for purposes of this Agreement.</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 Loan</w:t>
      </w:r>
      <w:r>
        <w:rPr>
          <w:rFonts w:ascii="Arial" w:cs="Arial" w:eastAsia="Arial" w:hAnsi="Arial"/>
          <w:sz w:val="18"/>
          <w:szCs w:val="18"/>
          <w:color w:val="auto"/>
        </w:rPr>
        <w:t>” means any Loan bearing interest at a rate determined by reference to the CDOR Rate.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Centuri</w:t>
      </w:r>
      <w:r>
        <w:rPr>
          <w:rFonts w:ascii="Arial" w:cs="Arial" w:eastAsia="Arial" w:hAnsi="Arial"/>
          <w:sz w:val="18"/>
          <w:szCs w:val="18"/>
          <w:color w:val="auto"/>
        </w:rPr>
        <w:t>” means Centuri Group, Inc. (formerly known as Centuri Construction Group, Inc.), a Nevada 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Centuri Canada</w:t>
      </w:r>
      <w:r>
        <w:rPr>
          <w:rFonts w:ascii="Arial" w:cs="Arial" w:eastAsia="Arial" w:hAnsi="Arial"/>
          <w:sz w:val="18"/>
          <w:szCs w:val="18"/>
          <w:color w:val="auto"/>
        </w:rPr>
        <w:t>” means Centuri Canada Division Inc., a corporation organized under the laws of the Province of Ontario, Canada.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Centuri U.S. Division</w:t>
      </w:r>
      <w:r>
        <w:rPr>
          <w:rFonts w:ascii="Arial" w:cs="Arial" w:eastAsia="Arial" w:hAnsi="Arial"/>
          <w:sz w:val="18"/>
          <w:szCs w:val="18"/>
          <w:color w:val="auto"/>
        </w:rPr>
        <w:t>” means Centuri U.S. Division, Inc., formerly known as Meritus Group, Inc., a Nevada corporation.</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7" w:name="page28"/>
    <w:bookmarkEnd w:id="27"/>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CFC</w:t>
      </w:r>
      <w:r>
        <w:rPr>
          <w:rFonts w:ascii="Arial" w:cs="Arial" w:eastAsia="Arial" w:hAnsi="Arial"/>
          <w:sz w:val="18"/>
          <w:szCs w:val="18"/>
          <w:color w:val="auto"/>
        </w:rPr>
        <w:t>” means a Foreign Subsidiary that is a “controlled foreign corporation” under Section 957 of the Code and any Subsidiary owned directly or indirectly by such Foreign Subsidiary.</w:t>
      </w:r>
    </w:p>
    <w:p>
      <w:pPr>
        <w:spacing w:after="0" w:line="170"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Holdco</w:t>
      </w:r>
      <w:r>
        <w:rPr>
          <w:rFonts w:ascii="Arial" w:cs="Arial" w:eastAsia="Arial" w:hAnsi="Arial"/>
          <w:sz w:val="18"/>
          <w:szCs w:val="18"/>
          <w:color w:val="auto"/>
        </w:rPr>
        <w:t>” means a Subsidiary substantially all the assets of which consist of Equity Interests in Foreign Subsidiaries that each constitute a CFC and/or Indebtedness or accounts receivable owed by Foreign Subsidiaries that each constitute a CFC or are treated as owed by any such Foreign Subsidiaries for U.S. federal income tax purposes.</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an event or series of events by which (a) Centuri shall fail to own, directly or indirectly, and control (i) one hundred percent (100%) on a fully diluted basis of the economic and voting Equity Interests of each US Borrower, and (ii) one hundred percent (100%) on a fully diluted basis of the economic and voting Equity Interests of Centuri Canada or (b) Southwest Gas shall fail to own, directly or indirectly, and control at least fifty-one percent (51%) on a fully diluted basis of the economic and voting Equity Interests of each of the Borrowers.</w:t>
      </w:r>
    </w:p>
    <w:p>
      <w:pPr>
        <w:spacing w:after="0" w:line="17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w:t>
      </w:r>
      <w:r>
        <w:rPr>
          <w:rFonts w:ascii="Arial" w:cs="Arial" w:eastAsia="Arial" w:hAnsi="Arial"/>
          <w:sz w:val="18"/>
          <w:szCs w:val="18"/>
          <w:color w:val="auto"/>
        </w:rPr>
        <w:t>” means Canadian Imperial Bank of Commerce.</w:t>
      </w:r>
    </w:p>
    <w:p>
      <w:pPr>
        <w:spacing w:after="0" w:line="225"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means (a) when used in reference to any Loan, whether such Loan is a Revolving Credit Loan, Swingline Loan, Term Loan, Extended Term Loan, Extended Revolving Credit Loan, Refinancing Revolving Loan of a given Refinancing Series or Refinancing Term Loan of a given Refinancing Series, and (b) when used in reference to any Commitment, whether such Commitment is a Revolving Credit Commitment, a Term Loan Commitment, an Extended Revolving Credit Commitment or Refinancing Revolving Credit Commitment of a given Refinancing Series.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the collateral security for the Secured Obligations pledged or granted pursuant to the Security Documents.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means, as to any Lender, such Lender’s Revolving Credit Commitment Percentage or Term Loan Percentage, as applicable.</w:t>
      </w:r>
    </w:p>
    <w:p>
      <w:pPr>
        <w:spacing w:after="0" w:line="170" w:lineRule="exact"/>
        <w:rPr>
          <w:sz w:val="20"/>
          <w:szCs w:val="20"/>
          <w:color w:val="auto"/>
        </w:rPr>
      </w:pPr>
    </w:p>
    <w:p>
      <w:pPr>
        <w:jc w:val="center"/>
        <w:ind w:left="560" w:right="3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as to all Lenders, the Revolving Credit Commitments and the Term Loan Commitments of such Lenders. 15</w:t>
      </w:r>
    </w:p>
    <w:p>
      <w:pPr>
        <w:sectPr>
          <w:pgSz w:w="11900" w:h="16838" w:orient="portrait"/>
          <w:cols w:equalWidth="0" w:num="1">
            <w:col w:w="11000"/>
          </w:cols>
          <w:pgMar w:left="440" w:top="274" w:right="45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Companies</w:t>
      </w:r>
      <w:r>
        <w:rPr>
          <w:rFonts w:ascii="Arial" w:cs="Arial" w:eastAsia="Arial" w:hAnsi="Arial"/>
          <w:sz w:val="18"/>
          <w:szCs w:val="18"/>
          <w:color w:val="auto"/>
        </w:rPr>
        <w:t>” means Centuri and its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for any period, the sum of the following determined on a Consolidated basis, without duplication,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Companies in accordance with GAAP:</w:t>
      </w:r>
    </w:p>
    <w:p>
      <w:pPr>
        <w:spacing w:after="0" w:line="211" w:lineRule="exact"/>
        <w:rPr>
          <w:sz w:val="20"/>
          <w:szCs w:val="20"/>
          <w:color w:val="auto"/>
        </w:rPr>
      </w:pPr>
    </w:p>
    <w:p>
      <w:pPr>
        <w:ind w:left="820" w:hanging="38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right="400" w:firstLine="436"/>
        <w:spacing w:after="0" w:line="277" w:lineRule="auto"/>
        <w:tabs>
          <w:tab w:leader="none" w:pos="8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sum of the following, without duplication, to the extent deducted in determining Consolidated Net Income (other than as set forth in clause (b)(x)(B)) for such period:</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income and franchise taxes,</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117" w:lineRule="exact"/>
        <w:rPr>
          <w:rFonts w:ascii="Arial" w:cs="Arial" w:eastAsia="Arial" w:hAnsi="Arial"/>
          <w:sz w:val="18"/>
          <w:szCs w:val="18"/>
          <w:color w:val="auto"/>
        </w:rPr>
      </w:pPr>
    </w:p>
    <w:p>
      <w:pPr>
        <w:jc w:val="both"/>
        <w:ind w:left="440" w:right="120" w:firstLine="419"/>
        <w:spacing w:after="0" w:line="259" w:lineRule="auto"/>
        <w:tabs>
          <w:tab w:leader="none" w:pos="131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amortization (including, for the avoidance of doubt, impairment charges, and amortization of goodwill and intangible assets acquired or arising from a business acquisition, regardless of whether presented as a separate line item or included in other book entries), depreciation and other non-cash charges (except to the extent that such non-cash charges are reserved for cash charges to be taken in the future), including any non-cash equity based compensation expense,</w:t>
      </w:r>
    </w:p>
    <w:p>
      <w:pPr>
        <w:spacing w:after="0" w:line="78" w:lineRule="exact"/>
        <w:rPr>
          <w:rFonts w:ascii="Arial" w:cs="Arial" w:eastAsia="Arial" w:hAnsi="Arial"/>
          <w:sz w:val="18"/>
          <w:szCs w:val="18"/>
          <w:color w:val="auto"/>
        </w:rPr>
      </w:pPr>
    </w:p>
    <w:p>
      <w:pPr>
        <w:ind w:left="1300" w:hanging="441"/>
        <w:spacing w:after="0"/>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non-recurring expenses and restructuring charges reducing Consolidated Net Income which do not represent a cash item in such</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102" w:lineRule="exact"/>
        <w:rPr>
          <w:rFonts w:ascii="Arial" w:cs="Arial" w:eastAsia="Arial" w:hAnsi="Arial"/>
          <w:sz w:val="17"/>
          <w:szCs w:val="17"/>
          <w:color w:val="auto"/>
        </w:rPr>
      </w:pPr>
    </w:p>
    <w:p>
      <w:pPr>
        <w:ind w:left="1240" w:hanging="381"/>
        <w:spacing w:after="0"/>
        <w:tabs>
          <w:tab w:leader="none" w:pos="12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one-time fees and expenses in connection with the Drum Acquisition,</w:t>
      </w:r>
    </w:p>
    <w:p>
      <w:pPr>
        <w:spacing w:after="0" w:line="117" w:lineRule="exact"/>
        <w:rPr>
          <w:rFonts w:ascii="Arial" w:cs="Arial" w:eastAsia="Arial" w:hAnsi="Arial"/>
          <w:sz w:val="18"/>
          <w:szCs w:val="18"/>
          <w:color w:val="auto"/>
        </w:rPr>
      </w:pPr>
    </w:p>
    <w:p>
      <w:pPr>
        <w:ind w:left="440" w:right="340" w:firstLine="419"/>
        <w:spacing w:after="0" w:line="277" w:lineRule="auto"/>
        <w:tabs>
          <w:tab w:leader="none" w:pos="1303"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net unrealized losses resulting from mark to market accounting for hedging activities, including, without limitation those resulting from the application of FASB Accounting Standards Codification 815,</w:t>
      </w:r>
    </w:p>
    <w:p>
      <w:pPr>
        <w:spacing w:after="0" w:line="62" w:lineRule="exact"/>
        <w:rPr>
          <w:rFonts w:ascii="Arial" w:cs="Arial" w:eastAsia="Arial" w:hAnsi="Arial"/>
          <w:sz w:val="18"/>
          <w:szCs w:val="18"/>
          <w:color w:val="auto"/>
        </w:rPr>
      </w:pPr>
    </w:p>
    <w:p>
      <w:pPr>
        <w:ind w:left="1340" w:hanging="481"/>
        <w:spacing w:after="0"/>
        <w:tabs>
          <w:tab w:leader="none" w:pos="1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net unrealized non-cash losses resulting from foreign currency balance sheet adjustments required by GAAP,</w:t>
      </w:r>
    </w:p>
    <w:p>
      <w:pPr>
        <w:spacing w:after="0" w:line="117" w:lineRule="exact"/>
        <w:rPr>
          <w:rFonts w:ascii="Arial" w:cs="Arial" w:eastAsia="Arial" w:hAnsi="Arial"/>
          <w:sz w:val="18"/>
          <w:szCs w:val="18"/>
          <w:color w:val="auto"/>
        </w:rPr>
      </w:pPr>
    </w:p>
    <w:p>
      <w:pPr>
        <w:ind w:left="440" w:right="440" w:firstLine="419"/>
        <w:spacing w:after="0" w:line="263" w:lineRule="auto"/>
        <w:tabs>
          <w:tab w:leader="none" w:pos="140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transaction fees, charges and other amounts related to this Agreement and any amendment or other modification to the Loan Documents, in each case to the extent paid within six (6) months of the Closing Date or the effectiveness of such amendment or other modification,</w:t>
      </w:r>
    </w:p>
    <w:p>
      <w:pPr>
        <w:spacing w:after="0" w:line="75" w:lineRule="exact"/>
        <w:rPr>
          <w:rFonts w:ascii="Arial" w:cs="Arial" w:eastAsia="Arial" w:hAnsi="Arial"/>
          <w:sz w:val="18"/>
          <w:szCs w:val="18"/>
          <w:color w:val="auto"/>
        </w:rPr>
      </w:pPr>
    </w:p>
    <w:p>
      <w:pPr>
        <w:ind w:left="440" w:firstLine="419"/>
        <w:spacing w:after="0" w:line="259" w:lineRule="auto"/>
        <w:tabs>
          <w:tab w:leader="none" w:pos="130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transaction fees, charges and other amounts (including any financing fees, merger and acquisition fees, legal fees and expenses, due diligence fees or any other fees and expenses in connection therewith) in connection with any Permitted Acquisition, Investment, disposition, issuance or repurchase of Equity Interests, or the incurrence, amendment or waiver of Indebtedness permitted hereunder (other than those related to the Transactions or with respect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9" w:name="page30"/>
    <w:bookmarkEnd w:id="2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amendment or modification of the Loan Documents), in each case, whether or not consummated, in each case to the extent paid within six</w:t>
      </w:r>
    </w:p>
    <w:p>
      <w:pPr>
        <w:spacing w:after="0" w:line="46" w:lineRule="exact"/>
        <w:rPr>
          <w:sz w:val="20"/>
          <w:szCs w:val="20"/>
          <w:color w:val="auto"/>
        </w:rPr>
      </w:pPr>
    </w:p>
    <w:p>
      <w:pPr>
        <w:jc w:val="both"/>
        <w:ind w:left="4" w:right="140" w:hanging="4"/>
        <w:spacing w:after="0" w:line="253"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months of the closing or effectiveness of such event or the termination or abandonment of such transaction,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added pursuant to this clause (b)(ix) taken together with the aggregate amount added pursuant to clause (b)(x) for any four quarter period shall in no event exceed twenty percent (20%) of Consolidated EBITDA for such period (calculated prior to any such add-backs pursuant to clauses (b)(ix) and (b)(x)),</w:t>
      </w:r>
    </w:p>
    <w:p>
      <w:pPr>
        <w:spacing w:after="0" w:line="84" w:lineRule="exact"/>
        <w:rPr>
          <w:rFonts w:ascii="Arial" w:cs="Arial" w:eastAsia="Arial" w:hAnsi="Arial"/>
          <w:sz w:val="18"/>
          <w:szCs w:val="18"/>
          <w:color w:val="auto"/>
        </w:rPr>
      </w:pPr>
    </w:p>
    <w:p>
      <w:pPr>
        <w:ind w:left="4" w:firstLine="419"/>
        <w:spacing w:after="0" w:line="285" w:lineRule="auto"/>
        <w:tabs>
          <w:tab w:leader="none" w:pos="816"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(A) other unusual and non-recurring cash expenses or charges, (B) the amount of any “run rate” synergies, operating expense reductions and other net cost savings and integration costs, in each case projected by the Borrowers in connection with Permitted Acquisitions, Asset Dispositions (including the termination or discontinuance of activities constituting such business) and/or other operating improvement, restructuring, cost savings initiative or other similar initiative taken after the Closing Date that have been consummated during the applicable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and (C) solely during the period from June 30, 2021 through December 31, 2022, the amount of projected EBITDA relating to the fourteen Exelon and Avangrid Master Services Agreements awarded in 2020 in an amount equal to $14,300,000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cumulative amount of actual EBITDA relating to such agreements after June 30, 2021);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synergies, expense reductions and cost savings are reasonably identifiable, factually supportable, expected to have a continuing impact on the operations of the Combined Companies and have been determined by the Borrowers in good faith to be reasonably anticipated to be realizable within eighteen (18) months following any such action as set forth in reasonable detail on a certificate of a Responsible Officer of Centuri delivered to the Administrative Agent, (ii) no such amounts shall be added pursuant to this clause to the extent duplicative of any expenses or charges otherwise added to Consolidated EBITDA, whether through a pro forma adjustment, the definition of Pro Forma Basis or otherwise and (iii) the aggregate amount added pursuant to this clause (b)(x) taken together with the aggregate amount added pursuant to clause (b)(ix) for any four quarter period shall in no event exceed twenty percent (20%) of Consolidated EBITDA for such period (calculated prior to any such add-backs pursuant to clauses (b)(ix) and (b)(x)), </w:t>
      </w:r>
      <w:r>
        <w:rPr>
          <w:rFonts w:ascii="Arial" w:cs="Arial" w:eastAsia="Arial" w:hAnsi="Arial"/>
          <w:sz w:val="16"/>
          <w:szCs w:val="16"/>
          <w:u w:val="single" w:color="auto"/>
          <w:color w:val="auto"/>
        </w:rPr>
        <w:t>less</w:t>
      </w:r>
    </w:p>
    <w:p>
      <w:pPr>
        <w:spacing w:after="0" w:line="176" w:lineRule="exact"/>
        <w:rPr>
          <w:sz w:val="20"/>
          <w:szCs w:val="20"/>
          <w:color w:val="auto"/>
        </w:rPr>
      </w:pPr>
    </w:p>
    <w:p>
      <w:pPr>
        <w:ind w:left="384" w:hanging="384"/>
        <w:spacing w:after="0"/>
        <w:tabs>
          <w:tab w:leader="none" w:pos="3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sum of the following, without duplication, to the extent included in determining Consolidated Net Income for such period:</w:t>
      </w:r>
    </w:p>
    <w:p>
      <w:pPr>
        <w:spacing w:after="0" w:line="117" w:lineRule="exact"/>
        <w:rPr>
          <w:rFonts w:ascii="Arial" w:cs="Arial" w:eastAsia="Arial" w:hAnsi="Arial"/>
          <w:sz w:val="18"/>
          <w:szCs w:val="18"/>
          <w:color w:val="auto"/>
        </w:rPr>
      </w:pPr>
    </w:p>
    <w:p>
      <w:pPr>
        <w:ind w:left="764" w:hanging="341"/>
        <w:spacing w:after="0"/>
        <w:tabs>
          <w:tab w:leader="none" w:pos="7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117" w:lineRule="exact"/>
        <w:rPr>
          <w:rFonts w:ascii="Arial" w:cs="Arial" w:eastAsia="Arial" w:hAnsi="Arial"/>
          <w:sz w:val="18"/>
          <w:szCs w:val="18"/>
          <w:color w:val="auto"/>
        </w:rPr>
      </w:pPr>
    </w:p>
    <w:p>
      <w:pPr>
        <w:ind w:left="824" w:hanging="401"/>
        <w:spacing w:after="0"/>
        <w:tabs>
          <w:tab w:leader="none" w:pos="824" w:val="left"/>
        </w:tabs>
        <w:numPr>
          <w:ilvl w:val="1"/>
          <w:numId w:val="23"/>
        </w:numPr>
        <w:rPr>
          <w:rFonts w:ascii="Arial" w:cs="Arial" w:eastAsia="Arial" w:hAnsi="Arial"/>
          <w:sz w:val="18"/>
          <w:szCs w:val="18"/>
          <w:color w:val="auto"/>
        </w:rPr>
      </w:pPr>
      <w:r>
        <w:rPr>
          <w:rFonts w:ascii="Arial" w:cs="Arial" w:eastAsia="Arial" w:hAnsi="Arial"/>
          <w:sz w:val="18"/>
          <w:szCs w:val="18"/>
          <w:color w:val="auto"/>
        </w:rPr>
        <w:t>unusual or non-recurring gains,</w:t>
      </w:r>
    </w:p>
    <w:p>
      <w:pPr>
        <w:spacing w:after="0" w:line="117" w:lineRule="exact"/>
        <w:rPr>
          <w:rFonts w:ascii="Arial" w:cs="Arial" w:eastAsia="Arial" w:hAnsi="Arial"/>
          <w:sz w:val="18"/>
          <w:szCs w:val="18"/>
          <w:color w:val="auto"/>
        </w:rPr>
      </w:pPr>
    </w:p>
    <w:p>
      <w:pPr>
        <w:ind w:left="864" w:hanging="441"/>
        <w:spacing w:after="0"/>
        <w:tabs>
          <w:tab w:leader="none" w:pos="8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net unrealized gains for items set forth in the foregoing clauses (b)(vi) and (vii),</w:t>
      </w:r>
    </w:p>
    <w:p>
      <w:pPr>
        <w:spacing w:after="0" w:line="117" w:lineRule="exact"/>
        <w:rPr>
          <w:rFonts w:ascii="Arial" w:cs="Arial" w:eastAsia="Arial" w:hAnsi="Arial"/>
          <w:sz w:val="18"/>
          <w:szCs w:val="18"/>
          <w:color w:val="auto"/>
        </w:rPr>
      </w:pPr>
    </w:p>
    <w:p>
      <w:pPr>
        <w:ind w:left="864" w:hanging="441"/>
        <w:spacing w:after="0"/>
        <w:tabs>
          <w:tab w:leader="none" w:pos="8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non-cash gains or non-cash items increasing Consolidated Net Income, and</w:t>
      </w:r>
    </w:p>
    <w:p>
      <w:pPr>
        <w:spacing w:after="0" w:line="117" w:lineRule="exact"/>
        <w:rPr>
          <w:rFonts w:ascii="Arial" w:cs="Arial" w:eastAsia="Arial" w:hAnsi="Arial"/>
          <w:sz w:val="18"/>
          <w:szCs w:val="18"/>
          <w:color w:val="auto"/>
        </w:rPr>
      </w:pPr>
    </w:p>
    <w:p>
      <w:pPr>
        <w:ind w:left="4" w:right="400" w:firstLine="419"/>
        <w:spacing w:after="0" w:line="342" w:lineRule="auto"/>
        <w:tabs>
          <w:tab w:leader="none" w:pos="816"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cash expense made during such period which represents the reversal of any non-cash expense that was added in a prior period pursuant to clause (b)(iii) above subsequent to the fiscal quarter in which the relevant non-cash expenses, charges or losses were incurred.</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Agreement, Consolidated EBITDA shall be adjusted on a Pro Forma Basis.</w:t>
      </w:r>
    </w:p>
    <w:p>
      <w:pPr>
        <w:spacing w:after="0" w:line="158"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4"/>
          </w:cols>
          <w:pgMar w:left="876" w:top="274" w:right="459" w:bottom="1440" w:gutter="0" w:footer="0" w:header="0"/>
        </w:sectPr>
      </w:pPr>
    </w:p>
    <w:bookmarkStart w:id="30" w:name="page31"/>
    <w:bookmarkEnd w:id="30"/>
    <w:p>
      <w:pPr>
        <w:ind w:left="4"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Consolidated EBITDA for the fiscal quarters ending September 30, 2020, January 3, 2021, April 4, 2021 and July 4, 2021 shall be the amounts corresponding to such fiscal quarters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170"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means, as of any date of determination with respect to the Consolidated Companies on a Consolidated basis, without duplication, the sum of all Indebtedness (other than Indebtedness in respect of obligations under any undrawn letter of credit) of the Consolidated Companies.</w:t>
      </w:r>
    </w:p>
    <w:p>
      <w:pPr>
        <w:spacing w:after="0" w:line="184"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means, as of any date of determination, determined on a Consolidated basis, without duplication, for the Consolidated Companies in accordance with GAAP: the ratio of (a) Consolidated EBITDA for the period of four (4) consecutive fiscal quarters ending on such date to (b) Consolidated Interest Expense for such period.</w:t>
      </w:r>
    </w:p>
    <w:p>
      <w:pPr>
        <w:spacing w:after="0" w:line="184"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means, for any period, the sum of the following determined on a Consolidated basis, without duplication, for the Consolidated Companies in accordance with GAAP, interest expense (including, without limitation, interest expense attributable to Capital Lease Obligations and all net payment obligations pursuant to Hedge Agreements) for such period. For purposes of this Agreement, Consolidated Interest Expense shall be adjusted on a Pro Forma Basis. Notwithstanding the foregoing, Consolidated Interest Expense for the period of four (4) consecutive fiscal quarters ending on September 30, 2021, December 31, 2021 and March 31, 2022 shall be calculated (i) for the fiscal quarter ending September 30, 2021, Consolidated Interest Expense for the fiscal quarter ending on such date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four (4), (ii) for the fiscal quarter ending December 31, 2021, Consolidated Interest Expense for the two consecutive fiscal quarters ending on such date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two (2) and (iii) for the fiscal quarter ending March 31, 2022, Consolidated Interest Expense for the three consecutive fiscal quarters ending on such date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four-third (4/3).</w:t>
      </w:r>
    </w:p>
    <w:p>
      <w:pPr>
        <w:spacing w:after="0" w:line="16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Leverage Ratio</w:t>
      </w:r>
      <w:r>
        <w:rPr>
          <w:rFonts w:ascii="Arial" w:cs="Arial" w:eastAsia="Arial" w:hAnsi="Arial"/>
          <w:sz w:val="18"/>
          <w:szCs w:val="18"/>
          <w:color w:val="auto"/>
        </w:rPr>
        <w:t xml:space="preserve">” means, as of any date of determination, the ratio of (a) Consolidated Funded Indebtedness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of Unrestricted cash and Cash Equivalents of Centuri and its Subsidiaries (excluding the proceeds of any Incremental Term Loans or any other Indebtedness incurred or made substantially concurrent with the determination of the amount of such Unrestricted cash and Cash Equivalents) on such date, not to exceed $150,000,000, to (b) Consolidated EBITDA for the period of four (4) consecutive fiscal quarters ending on or immediately prior to such date.</w:t>
      </w:r>
    </w:p>
    <w:p>
      <w:pPr>
        <w:spacing w:after="0" w:line="188"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for any period, the net income (or loss) of the Consolidated Companies for such period, determined on a Consolidated basis, without duplication,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in calculating Consolidated Net Income of the Consolidated Companies for any period, there shall be excluded (a) the net income (or loss) of any Person (other than a Subsidiary which shall be subject to clause (c) below), in which any of the Consolidated Companies has a joint interest with a third party, except to the extent such net income is actually paid in cash to any of the Consolidated Companies by dividend or other distribution during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net income (or loss) of W.S. Nicholls Western Construction, Ltd. and VRO Construction Partners 1, LLC attributable to the ownership percentage held by the Consolidated Companies shall be included regardless of whether such amounts are paid in cash to the Consolidated Companies), (b) the net income (or loss) of any Person accrued prior to the date it becomes a Subsidiary of any of the Consolidated Companies or is merged into or consolidated with any of the Consolidated Companies or that Person’s assets are acquired by any of the Consolidated Companies except to the extent included pursuant to the foregoing clause (a),</w:t>
      </w:r>
    </w:p>
    <w:p>
      <w:pPr>
        <w:spacing w:after="0" w:line="6" w:lineRule="exact"/>
        <w:rPr>
          <w:sz w:val="20"/>
          <w:szCs w:val="20"/>
          <w:color w:val="auto"/>
        </w:rPr>
      </w:pPr>
    </w:p>
    <w:p>
      <w:pPr>
        <w:ind w:left="4" w:right="20" w:hanging="4"/>
        <w:spacing w:after="0" w:line="253"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income (if positive), of any Subsidiary to the extent that the declaration or payment of dividends or similar distributions by such Subsidiary to any of the Consolidated Companies of such net income (i) is not at the time permitted by operation of the terms of its charter or any agreement, instrument, judgment, decree, order, statute, rule or governmental regulation applicable to such Subsidiary or (ii) would be subject to any taxes payable on such dividends or distributions, but in each case only to the extent of such prohibition or taxes and (d) any gain or loss from Asset Dispositions during such period.</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1" w:name="page32"/>
    <w:bookmarkEnd w:id="31"/>
    <w:p>
      <w:pPr>
        <w:ind w:left="4" w:right="1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xml:space="preserve">” means, on any date of determination, the Consolidated total assets of Centuri and its Subsidiaries as set forth on the Consolidated balance sheet of Centuri as of the last day of the fiscal quarter of Centuri ending on or immediately prior to such date and for which financial statements have been provided to the Administrative Agent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 determined on a Consolidated basis.</w:t>
      </w:r>
    </w:p>
    <w:p>
      <w:pPr>
        <w:spacing w:after="0" w:line="149" w:lineRule="exact"/>
        <w:rPr>
          <w:sz w:val="20"/>
          <w:szCs w:val="20"/>
          <w:color w:val="auto"/>
        </w:rPr>
      </w:pPr>
    </w:p>
    <w:p>
      <w:pPr>
        <w:ind w:left="4"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collectively, the Revolving Credit Facility, the Term Loan Facility, the Swingline Facility and the L/C Facility.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collectively, the US Credit Parties and the Canadian Credit Parties.</w:t>
      </w:r>
    </w:p>
    <w:p>
      <w:pPr>
        <w:spacing w:after="0" w:line="225"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Issuance</w:t>
      </w:r>
      <w:r>
        <w:rPr>
          <w:rFonts w:ascii="Arial" w:cs="Arial" w:eastAsia="Arial" w:hAnsi="Arial"/>
          <w:sz w:val="18"/>
          <w:szCs w:val="18"/>
          <w:color w:val="auto"/>
        </w:rPr>
        <w:t>” means the issuance of any Indebtedness for borrowed money by any Credit Party or any of its Subsidiaries.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Ratings</w:t>
      </w:r>
      <w:r>
        <w:rPr>
          <w:rFonts w:ascii="Arial" w:cs="Arial" w:eastAsia="Arial" w:hAnsi="Arial"/>
          <w:sz w:val="16"/>
          <w:szCs w:val="16"/>
          <w:color w:val="auto"/>
        </w:rPr>
        <w:t>” means the collective reference to (a) the public corporate family rating of Centuri as determined by Moody’s from time to time,</w:t>
      </w:r>
    </w:p>
    <w:p>
      <w:pPr>
        <w:spacing w:after="0" w:line="46" w:lineRule="exact"/>
        <w:rPr>
          <w:sz w:val="20"/>
          <w:szCs w:val="20"/>
          <w:color w:val="auto"/>
        </w:rPr>
      </w:pPr>
    </w:p>
    <w:p>
      <w:pPr>
        <w:ind w:left="4" w:hanging="4"/>
        <w:spacing w:after="0" w:line="260"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 corporate credit rating of Centuri as determined by S&amp;P from time to time and (c) the public ratings with respect to the Term Loan Facility as determined by both Moody’s and S&amp;P from time to time, and “</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applicable, any of the foregoing.</w:t>
      </w:r>
    </w:p>
    <w:p>
      <w:pPr>
        <w:spacing w:after="0" w:line="18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the Bankruptcy and Insolvency Act (Canada), the Winding-Up and Restructuring Act (Canada), the Companies’ Creditors Arrangement Act (Canada) and all other liquidation, conservatorship, bankruptcy, assignment for the benefit of creditors, moratorium, rearrangement, receivership, insolvency, reorganization, or similar debtor relief Laws of the United States, Canada or other applicable jurisdictions from time to time in effect.</w:t>
      </w:r>
    </w:p>
    <w:p>
      <w:pPr>
        <w:spacing w:after="0" w:line="187"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which with the passage of time, the giving of notice or any other condition, would constitute an Event of Default.</w:t>
      </w:r>
    </w:p>
    <w:p>
      <w:pPr>
        <w:spacing w:after="0" w:line="170"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5.15(b)</w:t>
      </w:r>
      <w:r>
        <w:rPr>
          <w:rFonts w:ascii="Arial" w:cs="Arial" w:eastAsia="Arial" w:hAnsi="Arial"/>
          <w:sz w:val="18"/>
          <w:szCs w:val="18"/>
          <w:color w:val="auto"/>
        </w:rPr>
        <w:t>, any Lender that (a) has failed to (i) fund all or any portion of the Revolving Credit Loans or any Term Loan required to be funded by it hereunder within two Business Days of the date such Loans were required to be funded hereunder unless such Lender notifies the Administrative Agent and Centuri in writing that such failure is the result of such Lender’s determination that one or more conditions precedent to funding (each of which conditions precedent,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2" w:name="page33"/>
    <w:bookmarkEnd w:id="3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together with any applicable default, shall be specifically identified in such writing) has not been satisfied, or (ii) pay to the Administrative Agent, any Issuing Lender, any Swingline Lender or any other Lender any other amount required to be paid by it hereunder (including in respect of its participation in Letters of Credit or Swingline Loans) within two Business Days of the date when due, (b) has notified Centuri, the Administrative Agent, any Issuing Lender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Centuri, to confirm in writing to the Administrative Agent and Centuri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the Administrative Agent and Centuri),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CDIC, the FDIC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5.15(b)</w:t>
      </w:r>
      <w:r>
        <w:rPr>
          <w:rFonts w:ascii="Arial" w:cs="Arial" w:eastAsia="Arial" w:hAnsi="Arial"/>
          <w:sz w:val="17"/>
          <w:szCs w:val="17"/>
          <w:color w:val="auto"/>
        </w:rPr>
        <w:t>) upon delivery of written notice of such determination to Centuri, each Issuing Lender, each Swingline Lender and each Lender.</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Interests</w:t>
      </w:r>
      <w:r>
        <w:rPr>
          <w:rFonts w:ascii="Arial" w:cs="Arial" w:eastAsia="Arial" w:hAnsi="Arial"/>
          <w:sz w:val="17"/>
          <w:szCs w:val="17"/>
          <w:color w:val="auto"/>
        </w:rPr>
        <w:t xml:space="preserve">”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scheduled payment of dividends in cash or (d) are or become convertible into or exchangeable for Indebtedness or any other Equity Interests that would constitute Disqualified Equity Interests, in each case, prior to the date that is 91 days after the Term Loan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Equity Interests are issued pursuant to a plan for the benefit of the Consolidated Companies or by any such plan to such employees, such Equity Interests shall not constitute Disqualified Equity Interests solely because they may be required to be repurchased by the Consolidated Companies in order to satisfy applicable statutory or regulatory obligations.</w:t>
      </w:r>
    </w:p>
    <w:p>
      <w:pPr>
        <w:spacing w:after="0" w:line="186"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means, with respect to any sum expressed in Canadian Dollars, the amount of Dollars which is equivalent to the amount so expressed in Canadian Dollars at the Spot Rate determined by the Administrative Agent to be available to it at the relevant time (including on each Revaluation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unless otherwise qualified, dollars in lawful currency of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Drum</w:t>
      </w:r>
      <w:r>
        <w:rPr>
          <w:rFonts w:ascii="Arial" w:cs="Arial" w:eastAsia="Arial" w:hAnsi="Arial"/>
          <w:sz w:val="18"/>
          <w:szCs w:val="18"/>
          <w:color w:val="auto"/>
        </w:rPr>
        <w:t>” means Drum Parent,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Drum Acquisition</w:t>
      </w:r>
      <w:r>
        <w:rPr>
          <w:rFonts w:ascii="Arial" w:cs="Arial" w:eastAsia="Arial" w:hAnsi="Arial"/>
          <w:sz w:val="18"/>
          <w:szCs w:val="18"/>
          <w:color w:val="auto"/>
        </w:rPr>
        <w:t>” means the acquisition of Drum and its Subsidiaries pursuant to the Drum Merger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Drum Material Adverse Effect</w:t>
      </w:r>
      <w:r>
        <w:rPr>
          <w:rFonts w:ascii="Arial" w:cs="Arial" w:eastAsia="Arial" w:hAnsi="Arial"/>
          <w:sz w:val="18"/>
          <w:szCs w:val="18"/>
          <w:color w:val="auto"/>
        </w:rPr>
        <w:t>” means a “Material Adverse Effect”, as defined in the Drum Merger Agreement.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Drum Merger Agreement</w:t>
      </w:r>
      <w:r>
        <w:rPr>
          <w:rFonts w:ascii="Arial" w:cs="Arial" w:eastAsia="Arial" w:hAnsi="Arial"/>
          <w:sz w:val="18"/>
          <w:szCs w:val="18"/>
          <w:color w:val="auto"/>
        </w:rPr>
        <w:t>” means that certain Agreement and Plan of Merger effective as of June 28, 2021, by and among Drum, Electric T&amp;D Holdings LLC, as buyer, Centuri, ETDH Merger Sub, Inc. and OCM Drum Investors, L.P., as representative of the stockholders and optionholders of Drum immediately prior to the Drum Acquisition, as sellers, together with all schedules and exhibits thereto and as the same may be amended, restated, supplemented or otherwise modified from time to time prior to the Closing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USD LIBOR, the occurrence of:</w:t>
      </w:r>
    </w:p>
    <w:p>
      <w:pPr>
        <w:spacing w:after="0" w:line="225" w:lineRule="exact"/>
        <w:rPr>
          <w:sz w:val="20"/>
          <w:szCs w:val="20"/>
          <w:color w:val="auto"/>
        </w:rPr>
      </w:pPr>
    </w:p>
    <w:p>
      <w:pPr>
        <w:ind w:firstLine="436"/>
        <w:spacing w:after="0" w:line="259"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Centuri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86" w:lineRule="exact"/>
        <w:rPr>
          <w:rFonts w:ascii="Arial" w:cs="Arial" w:eastAsia="Arial" w:hAnsi="Arial"/>
          <w:sz w:val="18"/>
          <w:szCs w:val="18"/>
          <w:color w:val="auto"/>
        </w:rPr>
      </w:pPr>
    </w:p>
    <w:p>
      <w:pPr>
        <w:ind w:right="200" w:firstLine="436"/>
        <w:spacing w:after="0" w:line="277" w:lineRule="auto"/>
        <w:tabs>
          <w:tab w:leader="none" w:pos="8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Centuri to trigger a fallback from USD LIBOR and the provision by the Administrative Agent of written notice of such election to the Lenders.</w:t>
      </w:r>
    </w:p>
    <w:p>
      <w:pPr>
        <w:spacing w:after="0" w:line="170"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ECF Percentage</w:t>
      </w:r>
      <w:r>
        <w:rPr>
          <w:rFonts w:ascii="Arial" w:cs="Arial" w:eastAsia="Arial" w:hAnsi="Arial"/>
          <w:sz w:val="16"/>
          <w:szCs w:val="16"/>
          <w:color w:val="auto"/>
        </w:rPr>
        <w:t>” means, with respect to any Fiscal Year, (a) 50%, if the Consolidated Net Leverage Ratio at the end of such Fiscal Year is greater than 4.00 to 1.00, (b) 25%, if the Consolidated Net Leverage Ratio at the end of such Fiscal Year is greater than to 3.50 to 1.00 but less than or equal to 4.00 to 1.00 and (c) 0%, if the Consolidated Net Leverage Ratio at the end of such Fiscal Year is less than or equal to 3.50 to 1.00.</w:t>
      </w:r>
    </w:p>
    <w:p>
      <w:pPr>
        <w:spacing w:after="0" w:line="14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has the meaning assigned to that term in, and shall be interpreted in accordance with, 15 U.S.C. 7006.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has the meaning assigned to that term in, and shall be interpreted in accordance with, 15 U.S.C. 7006.</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12.9(b)(iii)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12.9(b)(iii)</w:t>
      </w:r>
      <w:r>
        <w:rPr>
          <w:rFonts w:ascii="Arial" w:cs="Arial" w:eastAsia="Arial" w:hAnsi="Arial"/>
          <w:sz w:val="18"/>
          <w:szCs w:val="18"/>
          <w:color w:val="auto"/>
        </w:rPr>
        <w:t>).</w:t>
      </w:r>
    </w:p>
    <w:p>
      <w:pPr>
        <w:spacing w:after="0" w:line="170" w:lineRule="exact"/>
        <w:rPr>
          <w:sz w:val="20"/>
          <w:szCs w:val="20"/>
          <w:color w:val="auto"/>
        </w:rPr>
      </w:pPr>
    </w:p>
    <w:p>
      <w:pPr>
        <w:jc w:val="both"/>
        <w:ind w:right="1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spacing w:after="0" w:line="16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9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any and all federal, foreign, state, provincial and local laws, statutes, ordinances, codes, rules, standards and regulations, permits, licenses, approvals, interpretations and orders of courts or Governmental Authorities, relating to the protection of human health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7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the rules and regulations thereunder.</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who together with any Credit Party or any of its Subsidiaries is treated as a single employer within the meaning of Section 414(b), (c), (m) or (o) of the Code or Section 4001(b) of ERISA.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11.11(d)</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Erroneous Payment Impacted Class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11.11(d)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11.11(d)</w:t>
      </w:r>
      <w:r>
        <w:rPr>
          <w:rFonts w:ascii="Arial" w:cs="Arial" w:eastAsia="Arial" w:hAnsi="Arial"/>
          <w:sz w:val="18"/>
          <w:szCs w:val="18"/>
          <w:color w:val="auto"/>
        </w:rPr>
        <w:t>.</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thereto) as in effect from time to time.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day, the percentage which is in effect for such day as prescribed by the FRB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passage of time, giving of notice, or any other condition, has been satisfied.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Centuri and its Subsidiaries on a Consolidated basis, in accordance with GAAP for any Fiscal Year:</w:t>
      </w:r>
    </w:p>
    <w:p>
      <w:pPr>
        <w:spacing w:after="0" w:line="225" w:lineRule="exact"/>
        <w:rPr>
          <w:sz w:val="20"/>
          <w:szCs w:val="20"/>
          <w:color w:val="auto"/>
        </w:rPr>
      </w:pPr>
    </w:p>
    <w:p>
      <w:pPr>
        <w:ind w:left="820" w:hanging="38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117" w:lineRule="exact"/>
        <w:rPr>
          <w:rFonts w:ascii="Arial" w:cs="Arial" w:eastAsia="Arial" w:hAnsi="Arial"/>
          <w:sz w:val="18"/>
          <w:szCs w:val="18"/>
          <w:color w:val="auto"/>
        </w:rPr>
      </w:pPr>
    </w:p>
    <w:p>
      <w:pPr>
        <w:ind w:left="1260" w:hanging="401"/>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Fiscal Year;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440" w:right="60" w:firstLine="419"/>
        <w:spacing w:after="0" w:line="263" w:lineRule="auto"/>
        <w:tabs>
          <w:tab w:leader="none" w:pos="13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an amount equal to the amount of all non-cash charges to the extent deducted in determining Consolidated Net Income for such Fiscal Year (excluding any non-cash charges representing an accrual or reserve for a potential cash charge in any future Fiscal Year or amortization of a prepaid cash gain that was paid in a prior Fiscal Year); </w:t>
      </w:r>
      <w:r>
        <w:rPr>
          <w:rFonts w:ascii="Arial" w:cs="Arial" w:eastAsia="Arial" w:hAnsi="Arial"/>
          <w:sz w:val="18"/>
          <w:szCs w:val="18"/>
          <w:u w:val="single" w:color="auto"/>
          <w:color w:val="auto"/>
        </w:rPr>
        <w:t>plus</w:t>
      </w:r>
    </w:p>
    <w:p>
      <w:pPr>
        <w:spacing w:after="0" w:line="75" w:lineRule="exact"/>
        <w:rPr>
          <w:rFonts w:ascii="Arial" w:cs="Arial" w:eastAsia="Arial" w:hAnsi="Arial"/>
          <w:sz w:val="18"/>
          <w:szCs w:val="18"/>
          <w:color w:val="auto"/>
        </w:rPr>
      </w:pPr>
    </w:p>
    <w:p>
      <w:pPr>
        <w:ind w:left="1360" w:hanging="501"/>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decreases in Working Capital for such 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minus</w:t>
      </w:r>
    </w:p>
    <w:p>
      <w:pPr>
        <w:spacing w:after="0" w:line="225" w:lineRule="exact"/>
        <w:rPr>
          <w:sz w:val="20"/>
          <w:szCs w:val="20"/>
          <w:color w:val="auto"/>
        </w:rPr>
      </w:pPr>
    </w:p>
    <w:p>
      <w:pPr>
        <w:ind w:left="820" w:hanging="38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117" w:lineRule="exact"/>
        <w:rPr>
          <w:rFonts w:ascii="Arial" w:cs="Arial" w:eastAsia="Arial" w:hAnsi="Arial"/>
          <w:sz w:val="18"/>
          <w:szCs w:val="18"/>
          <w:color w:val="auto"/>
        </w:rPr>
      </w:pPr>
    </w:p>
    <w:p>
      <w:pPr>
        <w:ind w:left="440" w:firstLine="419"/>
        <w:spacing w:after="0" w:line="270" w:lineRule="auto"/>
        <w:tabs>
          <w:tab w:leader="none" w:pos="1213"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the aggregate amount of cash actually paid by Centuri and its Subsidiaries during such Fiscal Year on account of Capital Expenditures, Permitted Acquisitions and other Investments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(but excluding Investments in cash or Cash Equivalents and Investments in Centuri or any Subsidiary) (other than any amounts that were committed during a prior Fiscal Year to the extent such amounts reduced Excess Cash Flow in such prior Fiscal Year per clause (b)(ii) below), except to the extent any such Capital Expenditure, Permitted Acquisition or other Investment is made with the proceeds of long-term Indebtedness (other than Revolving Credit Loans), any Equity Issuance, casualty proceeds, condemnation proceeds or other proceeds that would not be included in Consolidated EBITDA;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amount of Capital Expenditures deducted under this clause (b)(i) that are financed with long-term Indebtedness, any Equity Issuance, casualty proceeds, condemnation proceeds or other proceeds that would not be included in Consolidated EBITDA in a future period, shall be added to the calculation of Excess Cash Flow in the applicable future period; </w:t>
      </w:r>
      <w:r>
        <w:rPr>
          <w:rFonts w:ascii="Arial" w:cs="Arial" w:eastAsia="Arial" w:hAnsi="Arial"/>
          <w:sz w:val="17"/>
          <w:szCs w:val="17"/>
          <w:u w:val="single" w:color="auto"/>
          <w:color w:val="auto"/>
        </w:rPr>
        <w:t>plus</w:t>
      </w:r>
    </w:p>
    <w:p>
      <w:pPr>
        <w:spacing w:after="0" w:line="72" w:lineRule="exact"/>
        <w:rPr>
          <w:rFonts w:ascii="Arial" w:cs="Arial" w:eastAsia="Arial" w:hAnsi="Arial"/>
          <w:sz w:val="17"/>
          <w:szCs w:val="17"/>
          <w:color w:val="auto"/>
        </w:rPr>
      </w:pPr>
    </w:p>
    <w:p>
      <w:pPr>
        <w:ind w:left="440" w:right="100" w:firstLine="419"/>
        <w:spacing w:after="0" w:line="263" w:lineRule="auto"/>
        <w:tabs>
          <w:tab w:leader="none" w:pos="12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other periods, (A) the aggregate consideration required to be paid in cash by Centuri and its Subsidiaries pursuant to binding contracts, commitments, letters of intent or purchase orders (such amount, the “</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entered into prior to or during such Fiscal Year and (B) any planned cash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6" w:name="page37"/>
    <w:bookmarkEnd w:id="36"/>
    <w:p>
      <w:pPr>
        <w:ind w:left="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expenditures by Centuri and its Subsidiaries (such amount, the “</w:t>
      </w:r>
      <w:r>
        <w:rPr>
          <w:rFonts w:ascii="Arial" w:cs="Arial" w:eastAsia="Arial" w:hAnsi="Arial"/>
          <w:sz w:val="17"/>
          <w:szCs w:val="17"/>
          <w:u w:val="single" w:color="auto"/>
          <w:color w:val="auto"/>
        </w:rPr>
        <w:t>Planned Expenditures</w:t>
      </w:r>
      <w:r>
        <w:rPr>
          <w:rFonts w:ascii="Arial" w:cs="Arial" w:eastAsia="Arial" w:hAnsi="Arial"/>
          <w:sz w:val="17"/>
          <w:szCs w:val="17"/>
          <w:color w:val="auto"/>
        </w:rPr>
        <w:t xml:space="preserve">”), in the case of each of clauses (A) and (B), relating to Permitted Acquisitions, Capital Expenditures and other Investments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(but excluding Investments in cash or Cash Equivalents and Investments in Centuri or any Subsidiary) to be consummated or made during the period of four (4) consecutive fiscal quarters of Centuri following the end of such Fiscal Year and identified in writing to the Administrative Agent with reasonable supporting calculations, except to the extent any such Capital Expenditure, Permitted Acquisition or other Investment is made with the proceeds of long-term Indebtedness (other than Revolving Credit Loans), any Equity Issuance, casualty proceeds, condemnation proceeds or other proceeds that would not be included in Consolidated EBITDA;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the aggregate amount of cash actually utilized to finance such Permitted Acquisitions, Capital Expenditures or other Investments during such following period of four consecutive fiscal quarters is less than such Contract Consideration and Planned Expenditures, the amount of such shortfall shall be added to the calculation of Excess Cash Flow, at the end of such period of four consecutive fiscal quarters;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amount of Contract Consideration and/or Planned Expenditures relating to Capital Expenditures deducted under this clause (b)(ii) that are financed with long-term Indebtedness, any Equity Issuance, casualty proceeds, condemnation proceeds or other proceeds that would not be included in Consolidated EBITDA in a future period, shall be added to the calculation of Excess Cash Flow in the applicable future period;</w:t>
      </w:r>
    </w:p>
    <w:p>
      <w:pPr>
        <w:spacing w:after="0" w:line="78" w:lineRule="exact"/>
        <w:rPr>
          <w:sz w:val="20"/>
          <w:szCs w:val="20"/>
          <w:color w:val="auto"/>
        </w:rPr>
      </w:pPr>
    </w:p>
    <w:p>
      <w:pPr>
        <w:ind w:left="440" w:right="20" w:firstLine="419"/>
        <w:spacing w:after="0" w:line="275" w:lineRule="auto"/>
        <w:tabs>
          <w:tab w:leader="none" w:pos="1313"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aggregate amount of all scheduled principal payments or repayments of Indebtedness (other than mandatory prepayments of Loans) made by Centuri and its Subsidiaries during such Fiscal Year, but only to the extent that such payments or repayments by their terms cannot be reborrowed or redrawn and do not occur in connection with a refinancing of all or any portion of such Indebtedness, except to the extent such principal payments are financed with the proceeds of long-term Indebtedness, any Equity Issuance, casualty proceeds, condemnation proceeds or other proceeds that would not be included in Consolidated EBITDA; </w:t>
      </w:r>
      <w:r>
        <w:rPr>
          <w:rFonts w:ascii="Arial" w:cs="Arial" w:eastAsia="Arial" w:hAnsi="Arial"/>
          <w:sz w:val="17"/>
          <w:szCs w:val="17"/>
          <w:u w:val="single" w:color="auto"/>
          <w:color w:val="auto"/>
        </w:rPr>
        <w:t>plus</w:t>
      </w:r>
    </w:p>
    <w:p>
      <w:pPr>
        <w:spacing w:after="0" w:line="68" w:lineRule="exact"/>
        <w:rPr>
          <w:rFonts w:ascii="Arial" w:cs="Arial" w:eastAsia="Arial" w:hAnsi="Arial"/>
          <w:sz w:val="17"/>
          <w:szCs w:val="17"/>
          <w:color w:val="auto"/>
        </w:rPr>
      </w:pPr>
    </w:p>
    <w:p>
      <w:pPr>
        <w:ind w:left="440" w:right="120" w:firstLine="419"/>
        <w:spacing w:after="0" w:line="311" w:lineRule="auto"/>
        <w:tabs>
          <w:tab w:leader="none" w:pos="1303"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amount of Restricted Payments made by Centuri and its Subsidiaries in cash during such Excess Cash Flow Period pursuant to </w:t>
      </w:r>
      <w:r>
        <w:rPr>
          <w:rFonts w:ascii="Arial" w:cs="Arial" w:eastAsia="Arial" w:hAnsi="Arial"/>
          <w:sz w:val="16"/>
          <w:szCs w:val="16"/>
          <w:u w:val="single" w:color="auto"/>
          <w:color w:val="auto"/>
        </w:rPr>
        <w:t>Section 9.6(e)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in each case to the extent that such Restricted Payments are not financed with the proceeds of long-term Indebtedness, any Equity Issuance, casualty proceeds, condemnation proceeds or other proceeds that would not be included in Consolidated EBITDA; </w:t>
      </w:r>
      <w:r>
        <w:rPr>
          <w:rFonts w:ascii="Arial" w:cs="Arial" w:eastAsia="Arial" w:hAnsi="Arial"/>
          <w:sz w:val="16"/>
          <w:szCs w:val="16"/>
          <w:u w:val="single" w:color="auto"/>
          <w:color w:val="auto"/>
        </w:rPr>
        <w:t>plus</w:t>
      </w:r>
    </w:p>
    <w:p>
      <w:pPr>
        <w:spacing w:after="0" w:line="40" w:lineRule="exact"/>
        <w:rPr>
          <w:rFonts w:ascii="Arial" w:cs="Arial" w:eastAsia="Arial" w:hAnsi="Arial"/>
          <w:sz w:val="16"/>
          <w:szCs w:val="16"/>
          <w:color w:val="auto"/>
        </w:rPr>
      </w:pPr>
    </w:p>
    <w:p>
      <w:pPr>
        <w:ind w:left="1240" w:hanging="381"/>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amount equal to the amount of all non-cash credits to the extent included in determining Consolidated Net Income for such Fiscal</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 xml:space="preserve">Year; </w:t>
      </w:r>
      <w:r>
        <w:rPr>
          <w:rFonts w:ascii="Arial" w:cs="Arial" w:eastAsia="Arial" w:hAnsi="Arial"/>
          <w:sz w:val="18"/>
          <w:szCs w:val="18"/>
          <w:u w:val="single" w:color="auto"/>
          <w:color w:val="auto"/>
        </w:rPr>
        <w:t>plus</w:t>
      </w:r>
    </w:p>
    <w:p>
      <w:pPr>
        <w:spacing w:after="0" w:line="102" w:lineRule="exact"/>
        <w:rPr>
          <w:rFonts w:ascii="Arial" w:cs="Arial" w:eastAsia="Arial" w:hAnsi="Arial"/>
          <w:sz w:val="16"/>
          <w:szCs w:val="16"/>
          <w:color w:val="auto"/>
        </w:rPr>
      </w:pPr>
    </w:p>
    <w:p>
      <w:pPr>
        <w:ind w:left="1300" w:hanging="441"/>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to Working Capital for such 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(15 U.S.C. 78a et seq.).</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each CFC, (b) each Subsidiary that is a direct or indirect Subsidiary of a CFC, (c) each CFC Holdco, (d) any Receivables Subsidiary, (e) any Subsidiary that is not a Wholly Owned Subsidiary if the organizational documents of such Subsidiary prohibit a guaranty by such Subsidiary of the Obligations or the pledge of the Equity Interests of such Subsidiary, and (f) any other Subsidiary with respect to which the Administrative Agent and the Borrower mutually agree that the cost of providing a Guarantee would be excessive in relation to the benefit to be afforded thereby.</w:t>
      </w:r>
    </w:p>
    <w:p>
      <w:pPr>
        <w:spacing w:after="0" w:line="188"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7" w:name="page38"/>
    <w:bookmarkEnd w:id="37"/>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the keepwell provisions in each applicable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78"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1" w:lineRule="exact"/>
        <w:rPr>
          <w:sz w:val="20"/>
          <w:szCs w:val="20"/>
          <w:color w:val="auto"/>
        </w:rPr>
      </w:pPr>
    </w:p>
    <w:p>
      <w:pPr>
        <w:ind w:left="4" w:hanging="4"/>
        <w:spacing w:after="0" w:line="267" w:lineRule="auto"/>
        <w:tabs>
          <w:tab w:leader="none" w:pos="259"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Centuri under </w:t>
      </w:r>
      <w:r>
        <w:rPr>
          <w:rFonts w:ascii="Arial" w:cs="Arial" w:eastAsia="Arial" w:hAnsi="Arial"/>
          <w:sz w:val="17"/>
          <w:szCs w:val="17"/>
          <w:u w:val="single" w:color="auto"/>
          <w:color w:val="auto"/>
        </w:rPr>
        <w:t>Section 5.12(b)</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5.11(g)</w:t>
      </w:r>
      <w:r>
        <w:rPr>
          <w:rFonts w:ascii="Arial" w:cs="Arial" w:eastAsia="Arial" w:hAnsi="Arial"/>
          <w:sz w:val="17"/>
          <w:szCs w:val="17"/>
          <w:color w:val="auto"/>
        </w:rPr>
        <w:t>, (d) any United States federal withholding Taxes imposed under FATCA, and (e) any Canadian withholding Taxes imposed on a Lender by reason of such Lender (i) being a “specified shareholder” (as defined in subsection 18(5) of the ITA) of a Credit Party or (ii) not dealing at arm’s length (for purposes of the ITA) with a “specified shareholder” (as defined in subsection 18(5) of the ITA) of the Credit Party. (except, in the case of (e)(i) or (ii), where any such non-arm’s length or specified shareholder relationship arises solely in connection with or as a result of, any Lender or other Recipient hereunder having become a party to, received or perfected a security interest under, or received, exercised or enforced any rights hereunder or under any other Loan Document).</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thereto in the Statement of Purpose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has the meaning assigned thereto in the Statement of Purpose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existing on the Closing Date and identified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Commitment</w:t>
      </w:r>
      <w:r>
        <w:rPr>
          <w:rFonts w:ascii="Arial" w:cs="Arial" w:eastAsia="Arial" w:hAnsi="Arial"/>
          <w:sz w:val="18"/>
          <w:szCs w:val="18"/>
          <w:color w:val="auto"/>
        </w:rPr>
        <w:t xml:space="preserve">” means any Class of Revolving Credit Commitments the maturity of which shall have been extended pursuant to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Revolving Credit Loans</w:t>
      </w:r>
      <w:r>
        <w:rPr>
          <w:rFonts w:ascii="Arial" w:cs="Arial" w:eastAsia="Arial" w:hAnsi="Arial"/>
          <w:sz w:val="17"/>
          <w:szCs w:val="17"/>
          <w:color w:val="auto"/>
        </w:rPr>
        <w:t>” means any Revolving Credit Loans made pursuant to the Extended Revolving Credit Commitments.</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means any Class of Term Loans the maturity of which shall have been extended pursuant to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5.19(a)</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8" w:name="page39"/>
    <w:bookmarkEnd w:id="38"/>
    <w:p>
      <w:pPr>
        <w:ind w:right="6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Extension Amendment</w:t>
      </w:r>
      <w:r>
        <w:rPr>
          <w:rFonts w:ascii="Arial" w:cs="Arial" w:eastAsia="Arial" w:hAnsi="Arial"/>
          <w:sz w:val="16"/>
          <w:szCs w:val="16"/>
          <w:color w:val="auto"/>
        </w:rPr>
        <w:t xml:space="preserve">” means an amendment to this Agreement (which may, at the option of the Administrative Agent and the Borrowers, be in the form of an amendment and restatement of this Agreement) among the Credit Parties, the applicable extending Lenders, the Administrative Agent and, to the extent required by </w:t>
      </w:r>
      <w:r>
        <w:rPr>
          <w:rFonts w:ascii="Arial" w:cs="Arial" w:eastAsia="Arial" w:hAnsi="Arial"/>
          <w:sz w:val="16"/>
          <w:szCs w:val="16"/>
          <w:u w:val="single" w:color="auto"/>
          <w:color w:val="auto"/>
        </w:rPr>
        <w:t>Section 5.19</w:t>
      </w:r>
      <w:r>
        <w:rPr>
          <w:rFonts w:ascii="Arial" w:cs="Arial" w:eastAsia="Arial" w:hAnsi="Arial"/>
          <w:sz w:val="16"/>
          <w:szCs w:val="16"/>
          <w:color w:val="auto"/>
        </w:rPr>
        <w:t>, the Issuing Lenders and/or the Swingline Lender implementing an Extension in accordance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5.19(a)</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and (iv) the aggregate principal amount of the Term Loans made by such Lender then outstanding, or (b) the making of any Loan or participation in any Letter of Credit by such Lender, as the context requires.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4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and related legislation or official administrative rules or regulations with respect thereto.</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FCA</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FDIC</w:t>
      </w:r>
      <w:r>
        <w:rPr>
          <w:rFonts w:ascii="Arial" w:cs="Arial" w:eastAsia="Arial" w:hAnsi="Arial"/>
          <w:sz w:val="18"/>
          <w:szCs w:val="18"/>
          <w:color w:val="auto"/>
        </w:rPr>
        <w:t>” means the Federal Deposit Insurance Corporation.</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on such day (or, if such day is not a Business Day, for the immediately preceding Business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w:t>
      </w:r>
    </w:p>
    <w:p>
      <w:pPr>
        <w:spacing w:after="0" w:line="16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Notwithstanding the foregoing, if the Federal Funds Rate shall be less than zero, such rate shall be deemed to be zero for the purposes of this Agreement.</w:t>
      </w:r>
    </w:p>
    <w:p>
      <w:pPr>
        <w:spacing w:after="0" w:line="170"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Letters</w:t>
      </w:r>
      <w:r>
        <w:rPr>
          <w:rFonts w:ascii="Arial" w:cs="Arial" w:eastAsia="Arial" w:hAnsi="Arial"/>
          <w:sz w:val="17"/>
          <w:szCs w:val="17"/>
          <w:color w:val="auto"/>
        </w:rPr>
        <w:t>” means (a) that certain Wells Fargo Fee Letter dated as of July 13, 2021, amongst Centuri, Wells Fargo Securities, LLC and Wells Fargo, (b) that certain Joint Fee Letter dated as of July 13, 2021 amongst the Borrowers, the Arrangers, Wells Fargo, Bank of America, N.A., Canadian Imperial Bank of Commerce, PNC Bank, National Association, Truist Bank, U.S. Bank National Association and Bank of Montreal (c) any letter between one or more of the Borrowers and any Issuing Lender (other than Wells Fargo) relating to certain fees payable to such Issuing Lender in its capacity as such, in each case, as amended, restated, supplemented or otherwise modified from time to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Tier Foreign Subsidiary</w:t>
      </w:r>
      <w:r>
        <w:rPr>
          <w:rFonts w:ascii="Arial" w:cs="Arial" w:eastAsia="Arial" w:hAnsi="Arial"/>
          <w:sz w:val="17"/>
          <w:szCs w:val="17"/>
          <w:color w:val="auto"/>
        </w:rPr>
        <w:t>” means any CFC or CFC Holdco the Equity Interests of which are owned directly by any US Credit Party.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Consolidated Companies ending on December 31.</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9" w:name="page40"/>
    <w:bookmarkEnd w:id="39"/>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Floor</w:t>
      </w:r>
      <w:r>
        <w:rPr>
          <w:rFonts w:ascii="Arial" w:cs="Arial" w:eastAsia="Arial" w:hAnsi="Arial"/>
          <w:sz w:val="18"/>
          <w:szCs w:val="18"/>
          <w:color w:val="auto"/>
        </w:rPr>
        <w:t xml:space="preserve">” means, (i) with respect to the Initial Term Loan Facility, 0.50%, (ii) with respect to any Incremental Term Loan, Refinancing Term Loan or Extended Term Loan, the applicable floor determined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5.19</w:t>
      </w:r>
      <w:r>
        <w:rPr>
          <w:rFonts w:ascii="Arial" w:cs="Arial" w:eastAsia="Arial" w:hAnsi="Arial"/>
          <w:sz w:val="18"/>
          <w:szCs w:val="18"/>
          <w:color w:val="auto"/>
        </w:rPr>
        <w:t>, as applicable, and (iii) for any purpose other than as specified in clause (i), 0%.</w:t>
      </w:r>
    </w:p>
    <w:p>
      <w:pPr>
        <w:spacing w:after="0" w:line="184"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with respect to the US Borrowers, a Lender that is not a U.S. Person, and (b) with respect to the Canadian Borrowers, a Lender that is resident or organized under the laws of a jurisdiction other than that in which the Canadian Borrowers are resident for tax purposes.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US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any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7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and all registrations and filings with or issued by, any Governmental Authorities.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Canada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30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40" w:name="page41"/>
    <w:bookmarkEnd w:id="40"/>
    <w:p>
      <w:pPr>
        <w:ind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Indebtedness or obligation or (e) for the purpose of assuming in any other manner the obligee in respect of such Indebtedness or other obligation of the payment or performance thereof or to protect such obligee against loss in respect thereof (whether in whole or in part).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Guaranty Agreements</w:t>
      </w:r>
      <w:r>
        <w:rPr>
          <w:rFonts w:ascii="Arial" w:cs="Arial" w:eastAsia="Arial" w:hAnsi="Arial"/>
          <w:sz w:val="17"/>
          <w:szCs w:val="17"/>
          <w:color w:val="auto"/>
        </w:rPr>
        <w:t>” means, collectively, the US Credit Party Guaranty Agreement and the Canadian Credit Party Guarantee Agreement.</w:t>
      </w:r>
    </w:p>
    <w:p>
      <w:pPr>
        <w:spacing w:after="0" w:line="23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by a Governmental Authority to constitute a nuisance or a trespass which pose a health or safety hazard to Persons or neighboring properties, (f) which consist of underground or aboveground storage tanks, whether empty, filled or partially filled with any substance or (g) which contain, without limitation, asbestos, polychlorinated biphenyls, urea formaldehyde foam insulation, petroleum hydrocarbons, petroleum derived substances or waste, crude oil, nuclear fuel, natural gas or synthetic gas.</w:t>
      </w:r>
    </w:p>
    <w:p>
      <w:pPr>
        <w:spacing w:after="0" w:line="181"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Agreement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means any US Hedge Bank or Canadian Hedge Bank.</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Termination Value</w:t>
      </w:r>
      <w:r>
        <w:rPr>
          <w:rFonts w:ascii="Arial" w:cs="Arial" w:eastAsia="Arial" w:hAnsi="Arial"/>
          <w:sz w:val="16"/>
          <w:szCs w:val="16"/>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any Subsidiary designated in writing by Centuri to the Administrative Agent as an Immaterial Subsidiary that is not already a Credit Party and that does not, as of the last day of the most recently completed period of four (4) consecutive fiscal quarters for which Centuri has delivered financial statements pursuant to </w:t>
      </w:r>
      <w:r>
        <w:rPr>
          <w:rFonts w:ascii="Arial" w:cs="Arial" w:eastAsia="Arial" w:hAnsi="Arial"/>
          <w:sz w:val="18"/>
          <w:szCs w:val="18"/>
          <w:u w:val="single" w:color="auto"/>
          <w:color w:val="auto"/>
        </w:rPr>
        <w:t>Section 6.1(e)(i)</w:t>
      </w:r>
      <w:r>
        <w:rPr>
          <w:rFonts w:ascii="Arial" w:cs="Arial" w:eastAsia="Arial" w:hAnsi="Arial"/>
          <w:sz w:val="18"/>
          <w:szCs w:val="18"/>
          <w:color w:val="auto"/>
        </w:rPr>
        <w:t xml:space="preserve">, </w:t>
      </w:r>
      <w:r>
        <w:rPr>
          <w:rFonts w:ascii="Arial" w:cs="Arial" w:eastAsia="Arial" w:hAnsi="Arial"/>
          <w:sz w:val="18"/>
          <w:szCs w:val="18"/>
          <w:u w:val="single" w:color="auto"/>
          <w:color w:val="auto"/>
        </w:rPr>
        <w:t>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8.1(b)</w:t>
      </w:r>
      <w:r>
        <w:rPr>
          <w:rFonts w:ascii="Arial" w:cs="Arial" w:eastAsia="Arial" w:hAnsi="Arial"/>
          <w:sz w:val="18"/>
          <w:szCs w:val="18"/>
          <w:color w:val="auto"/>
        </w:rPr>
        <w:t>, as applicable, have assets with a value in excess of 2.0% of the Consolidated Total Assets of the Consolidated Companies and did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41" w:name="page42"/>
    <w:bookmarkEnd w:id="4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 as of such period, have revenues exceeding 2.0% of the Consolidated revenues of the Consolidated Companies;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such Subsidiary shall have been designated in writing by Centuri to the Administrative Agent as an Immaterial Subsidiary, and (b) if (i) the aggregate total assets then owned by all Subsidiaries of Centuri that would otherwise constitute Immaterial Subsidiaries shall have an aggregate value in excess of 5.0% of the Consolidated Total Assets of the Consolidated Companies as of the last day of such fiscal quarter or (ii) the combined revenues of all Subsidiaries of Centuri that would otherwise constitute Immaterial Subsidiaries shall exceed 5.0% of the Consolidated revenues of the Consolidated Companies for such four-quarter period, Centuri shall re-designate one or more of such Subsidiaries to not be Immaterial Subsidiaries within ten (10) Business Days after delivery of the Officer’s Compliance Certificate for such fiscal quarter such that only those such Subsidiaries as shall then have aggregate assets of less than 5.0% of the Consolidated Total Assets of the Consolidated Companies and combined revenues of less than 5.0% of the Consolidated revenues of the Consolidated Companies shall constitute Immaterial Subsidiaries. Notwithstanding the foregoing, in no event shall (A) any Subsidiary that owns a majority of the Equity Interests of a Material Subsidiary, (B) any Wholly-Owned US Subsidiary that owns, or otherwise licenses or has the right to use, trademarks and other intellectual property material to the operation of the Consolidated Companies or (C) any Subsidiary that is an obligor or guarantor of any Indebtedness of any Credit Party or any Subsidiary thereof in excess of the Threshold Amount, in any such case be designated as an Immaterial Subsidiary. Notwithstanding the foregoing, in no event shall any Subsidiary that is an obligor or guarantor of any Refinancing Debt, Junior Indebtedness or Incremental Equivalent Indebtedness be permitted to be designated as an “Immaterial Subsidiary” hereunder.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Indebtedness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9.1(m)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Increases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Facility Increase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5.13(a)(i)</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w:t>
      </w:r>
      <w:r>
        <w:rPr>
          <w:rFonts w:ascii="Arial" w:cs="Arial" w:eastAsia="Arial" w:hAnsi="Arial"/>
          <w:sz w:val="18"/>
          <w:szCs w:val="18"/>
          <w:color w:val="auto"/>
        </w:rPr>
        <w:t xml:space="preserve">” means the commitment of any Lender to make an Incremental Term Loan to a Borrower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at any date and without duplication, the sum of the following:</w:t>
      </w:r>
    </w:p>
    <w:p>
      <w:pPr>
        <w:spacing w:after="0" w:line="117" w:lineRule="exact"/>
        <w:rPr>
          <w:sz w:val="20"/>
          <w:szCs w:val="20"/>
          <w:color w:val="auto"/>
        </w:rPr>
      </w:pPr>
    </w:p>
    <w:p>
      <w:pPr>
        <w:ind w:left="440" w:right="260" w:hanging="4"/>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liabilities, obligations and indebtedness for borrowed money including, but not limited to, obligations evidenced by bonds, debentures, notes or other similar instruments of any such Person;</w:t>
      </w:r>
    </w:p>
    <w:p>
      <w:pPr>
        <w:spacing w:after="0" w:line="62" w:lineRule="exact"/>
        <w:rPr>
          <w:rFonts w:ascii="Arial" w:cs="Arial" w:eastAsia="Arial" w:hAnsi="Arial"/>
          <w:sz w:val="18"/>
          <w:szCs w:val="18"/>
          <w:color w:val="auto"/>
        </w:rPr>
      </w:pPr>
    </w:p>
    <w:p>
      <w:pPr>
        <w:ind w:left="440" w:right="40" w:firstLine="419"/>
        <w:spacing w:after="0" w:line="259" w:lineRule="auto"/>
        <w:tabs>
          <w:tab w:leader="none" w:pos="125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ninety (90) days past due, or that are currently being contested in good faith by appropriate proceedings and with respect to which reserves in conformity with GAAP have been provided for on the books of such Person;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2" w:name="page43"/>
    <w:bookmarkEnd w:id="42"/>
    <w:p>
      <w:pPr>
        <w:ind w:left="440" w:right="40" w:firstLine="419"/>
        <w:spacing w:after="0" w:line="277" w:lineRule="auto"/>
        <w:tabs>
          <w:tab w:leader="none" w:pos="1243"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Attributable Indebtedness of such Person with respect to such Person’s Capital Lease Obligations and Synthetic Leases (regardless of whether accounted for as indebtedness under GAAP);</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2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75" w:lineRule="exact"/>
        <w:rPr>
          <w:rFonts w:ascii="Arial" w:cs="Arial" w:eastAsia="Arial" w:hAnsi="Arial"/>
          <w:sz w:val="18"/>
          <w:szCs w:val="18"/>
          <w:color w:val="auto"/>
        </w:rPr>
      </w:pPr>
    </w:p>
    <w:p>
      <w:pPr>
        <w:jc w:val="both"/>
        <w:ind w:left="440" w:right="20" w:firstLine="419"/>
        <w:spacing w:after="0" w:line="263" w:lineRule="auto"/>
        <w:tabs>
          <w:tab w:leader="none" w:pos="12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spacing w:after="0" w:line="75" w:lineRule="exact"/>
        <w:rPr>
          <w:rFonts w:ascii="Arial" w:cs="Arial" w:eastAsia="Arial" w:hAnsi="Arial"/>
          <w:sz w:val="18"/>
          <w:szCs w:val="18"/>
          <w:color w:val="auto"/>
        </w:rPr>
      </w:pPr>
    </w:p>
    <w:p>
      <w:pPr>
        <w:ind w:left="440" w:right="480" w:firstLine="419"/>
        <w:spacing w:after="0" w:line="342" w:lineRule="auto"/>
        <w:tabs>
          <w:tab w:leader="none" w:pos="122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15" w:lineRule="exact"/>
        <w:rPr>
          <w:rFonts w:ascii="Arial" w:cs="Arial" w:eastAsia="Arial" w:hAnsi="Arial"/>
          <w:sz w:val="16"/>
          <w:szCs w:val="16"/>
          <w:color w:val="auto"/>
        </w:rPr>
      </w:pPr>
    </w:p>
    <w:p>
      <w:pPr>
        <w:ind w:left="1240" w:hanging="381"/>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obligations of any such Person in respect of Disqualified Equity Interests;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net obligations of such Person under any Hedge Agreements; and</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Guarantees of any such Person with respect to any of the foregoing.</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Hedge Agreement on any date shall be deemed to be the Hedge Termination Value thereof as of such date. In respect of Indebtedness of another Person secured by a Lien on the assets of the specified Person, the amount of such Indebtedness as of any date of determination will be the lesser of (x) the fair market value of such assets as of such date and (y) the amount of such Indebtedness as of such date.</w:t>
      </w:r>
    </w:p>
    <w:p>
      <w:pPr>
        <w:spacing w:after="0" w:line="178"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Loan</w:t>
      </w:r>
      <w:r>
        <w:rPr>
          <w:rFonts w:ascii="Arial" w:cs="Arial" w:eastAsia="Arial" w:hAnsi="Arial"/>
          <w:sz w:val="17"/>
          <w:szCs w:val="17"/>
          <w:color w:val="auto"/>
        </w:rPr>
        <w:t xml:space="preserve">” means the term loan denominated in Dollars made to Centuri, by the Term Loan Lenders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23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and Condemnation Event</w:t>
      </w:r>
      <w:r>
        <w:rPr>
          <w:rFonts w:ascii="Arial" w:cs="Arial" w:eastAsia="Arial" w:hAnsi="Arial"/>
          <w:sz w:val="18"/>
          <w:szCs w:val="18"/>
          <w:color w:val="auto"/>
        </w:rPr>
        <w:t>” means the receipt by any Credit Party or any of its Subsidiaries of any cash insurance proceeds or condemnation award payable by reason of theft, loss, physical destruction or damage, taking or similar event with respect to any of their respective Property.</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74" w:right="519" w:bottom="1440" w:gutter="0" w:footer="0" w:header="0"/>
        </w:sectPr>
      </w:pPr>
    </w:p>
    <w:bookmarkStart w:id="43" w:name="page44"/>
    <w:bookmarkEnd w:id="4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LIBOR Rate Loan or CDOR Rate Loan, the period commencing on the date such LIBOR Rate Loan and CDOR Rate Loan is disbursed or converted to or continued as a LIBOR Rate Loan or CDOR Rate Loan and ending on the date that is (x) with respect to LIBOR Rate Loans, one (1), three (3) or six (6) months thereafter and (y) with respect to CDOR Rate Loans, one (1), two (2) or three (3) months thereafter, in each case as selected by the applicable Borrower in its Notice of Borrowing or Notice of Conversion/Continuation and subject to availability;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0" w:lineRule="exact"/>
        <w:rPr>
          <w:sz w:val="20"/>
          <w:szCs w:val="20"/>
          <w:color w:val="auto"/>
        </w:rPr>
      </w:pPr>
    </w:p>
    <w:p>
      <w:pPr>
        <w:jc w:val="both"/>
        <w:ind w:left="440" w:right="100" w:firstLine="419"/>
        <w:spacing w:after="0" w:line="263" w:lineRule="auto"/>
        <w:tabs>
          <w:tab w:leader="none" w:pos="12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Period shall commence on the date of advance of or conversion to any LIBOR Rate Loan or CDOR Rate Loan and, in the case of immediately successive Interest Periods, each successive Interest Period shall commence on the date on which the immediately preceding Interest Period expires;</w:t>
      </w:r>
    </w:p>
    <w:p>
      <w:pPr>
        <w:spacing w:after="0" w:line="75" w:lineRule="exact"/>
        <w:rPr>
          <w:rFonts w:ascii="Arial" w:cs="Arial" w:eastAsia="Arial" w:hAnsi="Arial"/>
          <w:sz w:val="18"/>
          <w:szCs w:val="18"/>
          <w:color w:val="auto"/>
        </w:rPr>
      </w:pPr>
    </w:p>
    <w:p>
      <w:pPr>
        <w:ind w:left="440" w:right="40" w:firstLine="419"/>
        <w:spacing w:after="0" w:line="259" w:lineRule="auto"/>
        <w:tabs>
          <w:tab w:leader="none" w:pos="12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with respect to a LIBOR Rate Loan or CDOR Rate Loan would otherwise expire on a day that is not a Business Day but is a day of the month after which no further Business Day occurs in such month, such Interest Period shall expire on the immediately preceding Business Day;</w:t>
      </w:r>
    </w:p>
    <w:p>
      <w:pPr>
        <w:spacing w:after="0" w:line="78" w:lineRule="exact"/>
        <w:rPr>
          <w:rFonts w:ascii="Arial" w:cs="Arial" w:eastAsia="Arial" w:hAnsi="Arial"/>
          <w:sz w:val="18"/>
          <w:szCs w:val="18"/>
          <w:color w:val="auto"/>
        </w:rPr>
      </w:pPr>
    </w:p>
    <w:p>
      <w:pPr>
        <w:ind w:left="440" w:right="140" w:firstLine="419"/>
        <w:spacing w:after="0" w:line="263" w:lineRule="auto"/>
        <w:tabs>
          <w:tab w:leader="none" w:pos="12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Interest Period with respect to a LIBOR Rate Loan or CDOR Rate Loan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2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no Interest Period shall extend beyond the Revolving Credit Maturity Date or the Term Loan Maturity Date, as applicable, and Interest Periods shall be selected by the applicable Borrower so as to permit such Borrower to make the quarterly principal installment payments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without payment of any amounts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shall be no more than sixteen (16) Interest Periods in effect at any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Interstate Commerce Act</w:t>
      </w:r>
      <w:r>
        <w:rPr>
          <w:rFonts w:ascii="Arial" w:cs="Arial" w:eastAsia="Arial" w:hAnsi="Arial"/>
          <w:sz w:val="18"/>
          <w:szCs w:val="18"/>
          <w:color w:val="auto"/>
        </w:rPr>
        <w:t>” means the body of law commonly known as the Interstate Commerce Act (49 U.S.C §§ 1 et seq.).</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(15 U.S.C. § 80(a)(1), et seq.).</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ISP98</w:t>
      </w:r>
      <w:r>
        <w:rPr>
          <w:rFonts w:ascii="Arial" w:cs="Arial" w:eastAsia="Arial" w:hAnsi="Arial"/>
          <w:sz w:val="18"/>
          <w:szCs w:val="18"/>
          <w:color w:val="auto"/>
        </w:rPr>
        <w:t>” means the International Standby Practices (1998 Revision, effective January 1, 1999), International Chamber of Commerce Publication No. 590.</w:t>
      </w:r>
    </w:p>
    <w:p>
      <w:pPr>
        <w:spacing w:after="0" w:line="170"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Lenders</w:t>
      </w:r>
      <w:r>
        <w:rPr>
          <w:rFonts w:ascii="Arial" w:cs="Arial" w:eastAsia="Arial" w:hAnsi="Arial"/>
          <w:sz w:val="16"/>
          <w:szCs w:val="16"/>
          <w:color w:val="auto"/>
        </w:rPr>
        <w:t xml:space="preserve">” means (a) Wells Fargo, solely in its capacity as issuer of US Letters of Credit, (b) CIBC, solely in its capacity as issuer of Canadian Letters of Credit, (c) solely with respect to Existing Letters of Credit, the applicable issuer thereof listed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and (d) any other Revolving Credit Lender to the extent it has agreed, in its sole discretion, to act as an “Issuing Lender” hereunder and that has been approved in writing by Centuri and the Administrative Agent (such approval by the Administrative Agent not to be unreasonably delayed or withheld), in each case in its capacity as issuer of any Letter of Credit (including each Existing Letter of Credit) hereunder or any successor thereto.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Income Tax Act (Canada), as amended from time to time.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4" w:name="page45"/>
    <w:bookmarkEnd w:id="44"/>
    <w:p>
      <w:pPr>
        <w:jc w:val="both"/>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means, with respect to Centuri and its Subsidiaries, any (a) Subordinated Indebtedness, (b) Indebtedness secured by Liens that are junior to the Liens securing the Secured Obligations and (c) unsecured Indebtedness (excluding intercompany Indebtedness) with an aggregate outstanding principal amount in excess of the Threshold Amount.</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Commitment</w:t>
      </w:r>
      <w:r>
        <w:rPr>
          <w:rFonts w:ascii="Arial" w:cs="Arial" w:eastAsia="Arial" w:hAnsi="Arial"/>
          <w:sz w:val="17"/>
          <w:szCs w:val="17"/>
          <w:color w:val="auto"/>
        </w:rPr>
        <w:t xml:space="preserve">” means, as to any Issuing Lender, the obligation of such Issuing Lender to issue Letters of Credit for the account of the Borrowers or one or more of their respective Subsidiaries from time to time in an aggregate amount equal to such amount as set forth on </w:t>
      </w:r>
      <w:r>
        <w:rPr>
          <w:rFonts w:ascii="Arial" w:cs="Arial" w:eastAsia="Arial" w:hAnsi="Arial"/>
          <w:sz w:val="17"/>
          <w:szCs w:val="17"/>
          <w:u w:val="single" w:color="auto"/>
          <w:color w:val="auto"/>
        </w:rPr>
        <w:t>Schedule 1.1(d)</w:t>
      </w:r>
      <w:r>
        <w:rPr>
          <w:rFonts w:ascii="Arial" w:cs="Arial" w:eastAsia="Arial" w:hAnsi="Arial"/>
          <w:sz w:val="17"/>
          <w:szCs w:val="17"/>
          <w:color w:val="auto"/>
        </w:rPr>
        <w:t xml:space="preserve"> or as separately agreed to in a written agreement between Centuri and such Issuing Lender (which such agreement shall be promptly delivered to the Administrative Agent upon execution), in each case any such amount may be changed after the Closing Date in a written agreement between Centuri and such Issuing Lender (which such agreement shall be promptly delivered to the Administrative Agent upon execution);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Facility</w:t>
      </w:r>
      <w:r>
        <w:rPr>
          <w:rFonts w:ascii="Arial" w:cs="Arial" w:eastAsia="Arial" w:hAnsi="Arial"/>
          <w:sz w:val="18"/>
          <w:szCs w:val="18"/>
          <w:color w:val="auto"/>
        </w:rPr>
        <w:t xml:space="preserve">” means the letter of credit facility established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collectively, the Canadian L/C Obligations and the US L/C Obligations.</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the collective reference to all the Revolving Credit Lenders other than the applicable Issuing Lender.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means the lesser of (a) $100,000,000 and (b) the Revolving Credit Commitment.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Test Date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means each Person executing this Agreement as a Lender on the Closing Date and any other Person that shall have become a party to this Agreement as a Lender pursuant to an Assignment and Assumption or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other than any Person that ceases to be a party hereto as a Lender pursuant to an Assignment and Assumption. Unless the context otherwise requires, the term “Lenders” includes the Swingline Lenders.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with respect to any Lender, the office of such Lender maintaining such Lender’s Extensions of Credit.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 reimbursement agreement, in the form specified by the applicable Issuing Lender from time to time, requesting such Issuing Lender to issue a Letter of Credit.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the collective reference to Canadian Letters of Credit and US Letters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Ratio Increase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means, subject to the implementation of a Benchmark Replacement in accordance with </w:t>
      </w:r>
      <w:r>
        <w:rPr>
          <w:rFonts w:ascii="Arial" w:cs="Arial" w:eastAsia="Arial" w:hAnsi="Arial"/>
          <w:sz w:val="18"/>
          <w:szCs w:val="18"/>
          <w:u w:val="single" w:color="auto"/>
          <w:color w:val="auto"/>
        </w:rPr>
        <w:t>Section 5.8(c)</w:t>
      </w:r>
      <w:r>
        <w:rPr>
          <w:rFonts w:ascii="Arial" w:cs="Arial" w:eastAsia="Arial" w:hAnsi="Arial"/>
          <w:sz w:val="18"/>
          <w:szCs w:val="18"/>
          <w:color w:val="auto"/>
        </w:rPr>
        <w:t>,</w:t>
      </w:r>
    </w:p>
    <w:p>
      <w:pPr>
        <w:spacing w:after="0" w:line="225" w:lineRule="exact"/>
        <w:rPr>
          <w:sz w:val="20"/>
          <w:szCs w:val="20"/>
          <w:color w:val="auto"/>
        </w:rPr>
      </w:pPr>
    </w:p>
    <w:p>
      <w:pPr>
        <w:ind w:right="180" w:firstLine="436"/>
        <w:spacing w:after="0" w:line="263"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 LIBOR Rate Loan, the rate of interest per annum determined on the basis of the rate for deposits in Dollars for a period equal to the applicable Interest Period as published by the ICE Benchmark Administration Limited, a United Kingdom company, or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5" w:name="page46"/>
    <w:bookmarkEnd w:id="4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comparable or successor quoting service approved by the Administrative Agent, at approximately 11:00 a.m. (London time) two (2) London Banking Days prior to the first day of the applicable Interest Period. If, for any reason, such rate is not so published then “LIBOR” shall be determined by the Administrative Agent to be the arithmetic average of the rate per annum at which deposits in Dollars would be offered by first class banks in the London interbank market to the Administrative Agent at approximately 11:00 a.m. (London time) two (2) London Banking Days prior to the first day of the applicable Interest Period for a period equal to such Interest Period, and</w:t>
      </w:r>
    </w:p>
    <w:p>
      <w:pPr>
        <w:spacing w:after="0" w:line="188" w:lineRule="exact"/>
        <w:rPr>
          <w:sz w:val="20"/>
          <w:szCs w:val="20"/>
          <w:color w:val="auto"/>
        </w:rPr>
      </w:pPr>
    </w:p>
    <w:p>
      <w:pPr>
        <w:ind w:right="100" w:firstLine="436"/>
        <w:spacing w:after="0" w:line="254" w:lineRule="auto"/>
        <w:tabs>
          <w:tab w:leader="none" w:pos="8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interest rate calculation with respect to a Base Rate Loan, the rate of interest per annum determined on the basis of the rate for deposits in Dollars for an Interest Period equal to one month (commencing on the date of determination of such interest rate) as published by the ICE Benchmark Administration Limited, a United Kingdom company, or a comparable or successor quoting service approved by the Administrative Agent, at approximately 11:00 a.m. (London time) on such date of determination, or, if such date is not a Business Day, then the immediately preceding Business Day. If, for any reason, such rate is not so published then “LIBOR” for such Base Rate Loan shall be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calculation by the Administrative Agent of LIBOR shall be conclusive and binding for all purposes, absent manifest error.</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Notwithstanding the foregoing, (x) in no event shall LIBOR (including, without limitation, any Benchmark Replacement with respect thereto) be less than the Floor and (y) unless otherwise specified in any amendment to this Agreement entered into in accordance with </w:t>
      </w:r>
      <w:r>
        <w:rPr>
          <w:rFonts w:ascii="Arial" w:cs="Arial" w:eastAsia="Arial" w:hAnsi="Arial"/>
          <w:sz w:val="18"/>
          <w:szCs w:val="18"/>
          <w:u w:val="single" w:color="auto"/>
          <w:color w:val="auto"/>
        </w:rPr>
        <w:t>Section 5.8(c)</w:t>
      </w:r>
      <w:r>
        <w:rPr>
          <w:rFonts w:ascii="Arial" w:cs="Arial" w:eastAsia="Arial" w:hAnsi="Arial"/>
          <w:sz w:val="18"/>
          <w:szCs w:val="18"/>
          <w:color w:val="auto"/>
        </w:rPr>
        <w:t>, in the event that a Benchmark Replacement with respect to LIBOR is implemented then all references herein to LIBOR shall be deemed references to such Benchmark Replacement.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means a rate per annum determined by the Administrative Agent pursuant to the following formula:</w:t>
      </w:r>
    </w:p>
    <w:p>
      <w:pPr>
        <w:spacing w:after="0" w:line="252" w:lineRule="exact"/>
        <w:rPr>
          <w:sz w:val="20"/>
          <w:szCs w:val="20"/>
          <w:color w:val="auto"/>
        </w:rPr>
      </w:pPr>
    </w:p>
    <w:p>
      <w:pPr>
        <w:ind w:left="3120"/>
        <w:spacing w:after="0"/>
        <w:tabs>
          <w:tab w:leader="none" w:pos="4940" w:val="left"/>
        </w:tabs>
        <w:rPr>
          <w:sz w:val="20"/>
          <w:szCs w:val="20"/>
          <w:color w:val="auto"/>
        </w:rPr>
      </w:pPr>
      <w:r>
        <w:rPr>
          <w:rFonts w:ascii="Arial" w:cs="Arial" w:eastAsia="Arial" w:hAnsi="Arial"/>
          <w:sz w:val="18"/>
          <w:szCs w:val="18"/>
          <w:color w:val="auto"/>
        </w:rPr>
        <w:t>LIBOR Rate =</w:t>
      </w:r>
      <w:r>
        <w:rPr>
          <w:sz w:val="20"/>
          <w:szCs w:val="20"/>
          <w:color w:val="auto"/>
        </w:rPr>
        <w:tab/>
      </w: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14605</wp:posOffset>
            </wp:positionV>
            <wp:extent cx="3454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1.00-Eurodollar Reserve Percentage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 Loan</w:t>
      </w:r>
      <w:r>
        <w:rPr>
          <w:rFonts w:ascii="Arial" w:cs="Arial" w:eastAsia="Arial" w:hAnsi="Arial"/>
          <w:sz w:val="18"/>
          <w:szCs w:val="18"/>
          <w:color w:val="auto"/>
        </w:rPr>
        <w:t xml:space="preserve">” means any Loan bearing interest at a rate based upon the LIBOR Rate as provided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any mortgage, leasehold mortgage, lien, pledge, charge, security interest, hypothecation or encumbrance of any kind in respect of such asset whether statutory, based on common law, contract, or otherwise.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spacing w:after="0" w:line="17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means any Acquisition that (a) is not prohibited hereunder and (b) is not conditioned on the availability of, or on obtaining, third-party financing.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Linetec</w:t>
      </w:r>
      <w:r>
        <w:rPr>
          <w:rFonts w:ascii="Arial" w:cs="Arial" w:eastAsia="Arial" w:hAnsi="Arial"/>
          <w:sz w:val="18"/>
          <w:szCs w:val="18"/>
          <w:color w:val="auto"/>
        </w:rPr>
        <w:t>” means Linetec Services, LLC, a Delaware limited liability company.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6" w:name="page47"/>
    <w:bookmarkEnd w:id="46"/>
    <w:p>
      <w:pPr>
        <w:ind w:left="4" w:right="1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Linetec Purchase Agreement</w:t>
      </w:r>
      <w:r>
        <w:rPr>
          <w:rFonts w:ascii="Arial" w:cs="Arial" w:eastAsia="Arial" w:hAnsi="Arial"/>
          <w:sz w:val="17"/>
          <w:szCs w:val="17"/>
          <w:color w:val="auto"/>
        </w:rPr>
        <w:t>” means that certain Membership Interest Purchase Agreement dated November 26, 2018 by and among, inter alia, Centuri U.S. Division, Linetec and the existing sole equity holders of Linetec, including all exhibits, schedules and annexes thereto.</w:t>
      </w:r>
    </w:p>
    <w:p>
      <w:pPr>
        <w:spacing w:after="0" w:line="146"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collectively, this Agreement, each Note, the Letter of Credit Applications, the Security Documents, the Guaranty Agreements, the Fee Letters, each Acceptable Intercreditor Agreement, each Refinancing Amendment, each Incremental Amendment, each Extension Amendment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spacing w:after="0" w:line="161"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collective reference to the Revolving Credit Loans, the Term Loans and the Swingline Loans, and “Loan” means any of such Loans.</w:t>
      </w:r>
    </w:p>
    <w:p>
      <w:pPr>
        <w:spacing w:after="0" w:line="170"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with respect to the Consolidated Companies, (a) a material adverse effect on the properties, business, operations or financial condition of such Persons, taken as a whole, (b) a material impairment of the ability of any such Person to perform its obligations under the Loan Documents to which it is a party, (c) a material impairment of the rights and remedies of the Administrative Agent or any Lender under any Loan Document or (d) an impairment of the legality, validity, binding effect or enforceability against any Credit Party of any Loan Document to which it is a party.</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as of any date, any Subsidiary that is not an Immaterial Subsidiary.</w:t>
      </w:r>
    </w:p>
    <w:p>
      <w:pPr>
        <w:spacing w:after="0" w:line="225"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means, at any time, (a) with respect to Cash Collateral consisting of cash or deposit account balances, an amount equal to 100% of the sum of (i) the Fronting Exposure of the Issuing Lenders with respect to Letters of Credit issued and outstanding at such time and</w:t>
      </w:r>
    </w:p>
    <w:p>
      <w:pPr>
        <w:ind w:left="4" w:hanging="4"/>
        <w:spacing w:after="0" w:line="255" w:lineRule="auto"/>
        <w:tabs>
          <w:tab w:leader="none" w:pos="2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Fronting Exposure of the Swingline Lenders with respect to all Swingline Loans outstanding at such time and (b) otherwise, an amount determined by the Administrative Agent and each of the applicable Issuing Lenders that is entitled to Cash Collateral hereunder at such time in their sole discretion.</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4" w:right="5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 “multiemployer plan” as defined in Section 4001(a)(3) of ERISA to which any Credit Party or any ERISA Affiliate is making, or is accruing an obligation to make, or has accrued an obligation to make contributions within the preceding seven (7) years.</w:t>
      </w:r>
    </w:p>
    <w:p>
      <w:pPr>
        <w:spacing w:after="0" w:line="124"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xml:space="preserve">” means, as applicable, (a) with respect to any Asset Disposition or Insurance and Condemnation Event, the gross proceeds received by any Credit Party or any of its Subsidiaries therefrom (including any cash, Cash Equivalents, deferred payment pursuant to, or by monetization of, a note receivable or otherwise, as and when received)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sum of (i) in the case of an Asset Disposition, all income taxes and other taxes assessed by, or reasonably estimated to be payable to, a Governmental Authority as a result of such transaction (provided that if such estimated taxes exceed the amount of actual taxes required to be paid in cash in respect of such Asset Disposition, the amount of such excess shall constitute Net Cash Proceeds), (ii) all customary out-of-pocket fees and expenses incurred in connection with such transaction or event and (iii) the principal amount of, premium, if any, and interest on any Indebtedness secured on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on senior ranking to the Liens created under the Loan Documents by a Lien on the asset (or a portion thereof) disposed of, which Indebtedness is required to be repaid in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7" w:name="page48"/>
    <w:bookmarkEnd w:id="47"/>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with such transaction or event, and (b) with respect to any Debt Issuance, the gross cash proceeds received by any Credit Party or any of its Subsidiaries therefrom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all customary out-of-pocket legal, underwriting and other fees and expenses (whether similar or dissimilar to the foregoing) incurred in connection therewith.</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amendment, modification or termination of any Loan Document that (a) requires the approval of all Lenders or all affected Lenders in accordance with the terms of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(b) has been approved by the Required Lenders or the Required Facility Lenders, as applicable.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Non-Credit Party Subsidiary</w:t>
      </w:r>
      <w:r>
        <w:rPr>
          <w:rFonts w:ascii="Arial" w:cs="Arial" w:eastAsia="Arial" w:hAnsi="Arial"/>
          <w:sz w:val="18"/>
          <w:szCs w:val="18"/>
          <w:color w:val="auto"/>
        </w:rPr>
        <w:t>” means any Subsidiary of a Consolidated Company that is not a Credit Party.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collective reference to the US Revolving Credit Notes, the US Swingline Note, the US Term Loan Notes, the Canadian Revolving Credit Notes, the Canadian Swingline Note and the Canadian Term Loan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collectively, the Canadian Obligations and the US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Compliance Certificate</w:t>
      </w:r>
      <w:r>
        <w:rPr>
          <w:rFonts w:ascii="Arial" w:cs="Arial" w:eastAsia="Arial" w:hAnsi="Arial"/>
          <w:sz w:val="18"/>
          <w:szCs w:val="18"/>
          <w:color w:val="auto"/>
        </w:rPr>
        <w:t xml:space="preserve">” means a certificate of the chief financial officer or the treasurer of Centuri substantially in the form attached as </w:t>
      </w:r>
      <w:r>
        <w:rPr>
          <w:rFonts w:ascii="Arial" w:cs="Arial" w:eastAsia="Arial" w:hAnsi="Arial"/>
          <w:sz w:val="18"/>
          <w:szCs w:val="18"/>
          <w:b w:val="1"/>
          <w:bCs w:val="1"/>
          <w:i w:val="1"/>
          <w:iCs w:val="1"/>
          <w:color w:val="auto"/>
        </w:rPr>
        <w:t>Exhibit F</w:t>
      </w:r>
      <w:r>
        <w:rPr>
          <w:rFonts w:ascii="Arial" w:cs="Arial" w:eastAsia="Arial" w:hAnsi="Arial"/>
          <w:sz w:val="18"/>
          <w:szCs w:val="18"/>
          <w:color w:val="auto"/>
        </w:rPr>
        <w:t>.</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as to any Person as determined in accordance with GAAP, any lease of Property (whether real, personal or mixed) by such Person as lessee which is not a Capital Lease Obligation.</w:t>
      </w:r>
    </w:p>
    <w:p>
      <w:pPr>
        <w:spacing w:after="0" w:line="170"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Recipient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agency.</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(7) years been maintained, funded or administered for the employees of any Credit Party or any current or former ERISA Affiliates and shall not include any Canadian Pension Plan.</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any Acquisition by any Credit Party if each such Acquisition meets all of the following requirements (subject, in the case of a Permitted Acquisition that is a Limited Condition Acquisition, to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70" w:lineRule="exact"/>
        <w:rPr>
          <w:sz w:val="20"/>
          <w:szCs w:val="20"/>
          <w:color w:val="auto"/>
        </w:rPr>
      </w:pPr>
    </w:p>
    <w:p>
      <w:pPr>
        <w:ind w:right="300" w:firstLine="436"/>
        <w:spacing w:after="0" w:line="263"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less than fifteen (15) Business Days prior to the proposed closing date of such Acquisition (or such shorter period as agreed to by the Administrative Agent in its sole discretion), Centuri shall have delivered written notice of such Acquisition to the Administrative Agent and the Lenders, which notice shall include the proposed closing date of such Acquisition;</w:t>
      </w:r>
    </w:p>
    <w:p>
      <w:pPr>
        <w:spacing w:after="0" w:line="183" w:lineRule="exact"/>
        <w:rPr>
          <w:rFonts w:ascii="Arial" w:cs="Arial" w:eastAsia="Arial" w:hAnsi="Arial"/>
          <w:sz w:val="18"/>
          <w:szCs w:val="18"/>
          <w:color w:val="auto"/>
        </w:rPr>
      </w:pPr>
    </w:p>
    <w:p>
      <w:pPr>
        <w:ind w:right="140" w:firstLine="436"/>
        <w:spacing w:after="0" w:line="342" w:lineRule="auto"/>
        <w:tabs>
          <w:tab w:leader="none" w:pos="83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Centuri shall have certified on or before the closing date of such Acquisition, in writing and in a form reasonably acceptable to the Administrative Agent, that such Acquisition has been approved by the board of directors (or equivalent governing body) of the Person to be acquired;</w:t>
      </w:r>
    </w:p>
    <w:p>
      <w:pPr>
        <w:spacing w:after="0" w:line="123" w:lineRule="exact"/>
        <w:rPr>
          <w:rFonts w:ascii="Arial" w:cs="Arial" w:eastAsia="Arial" w:hAnsi="Arial"/>
          <w:sz w:val="16"/>
          <w:szCs w:val="16"/>
          <w:color w:val="auto"/>
        </w:rPr>
      </w:pPr>
    </w:p>
    <w:p>
      <w:pPr>
        <w:ind w:right="320" w:firstLine="436"/>
        <w:spacing w:after="0" w:line="342"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Person or business to be acquired shall be in a line of business permitted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or, in the case of an Acquisition of assets, the assets acquired are useful in the business of the Consolidated Companies as conducted immediately prior to such Acquisition;</w:t>
      </w:r>
    </w:p>
    <w:p>
      <w:pPr>
        <w:spacing w:after="0" w:line="123" w:lineRule="exact"/>
        <w:rPr>
          <w:rFonts w:ascii="Arial" w:cs="Arial" w:eastAsia="Arial" w:hAnsi="Arial"/>
          <w:sz w:val="16"/>
          <w:szCs w:val="16"/>
          <w:color w:val="auto"/>
        </w:rPr>
      </w:pPr>
    </w:p>
    <w:p>
      <w:pPr>
        <w:ind w:right="120" w:firstLine="436"/>
        <w:spacing w:after="0" w:line="277" w:lineRule="auto"/>
        <w:tabs>
          <w:tab w:leader="none" w:pos="8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such transaction is a merger, amalgamation, or consolidation, a Borrower or a Subsidiary Guarantor shall be the surviving Person and no Change in Control shall have been effected thereby;</w:t>
      </w:r>
    </w:p>
    <w:p>
      <w:pPr>
        <w:spacing w:after="0" w:line="170" w:lineRule="exact"/>
        <w:rPr>
          <w:rFonts w:ascii="Arial" w:cs="Arial" w:eastAsia="Arial" w:hAnsi="Arial"/>
          <w:sz w:val="18"/>
          <w:szCs w:val="18"/>
          <w:color w:val="auto"/>
        </w:rPr>
      </w:pPr>
    </w:p>
    <w:p>
      <w:pPr>
        <w:ind w:firstLine="436"/>
        <w:spacing w:after="0" w:line="308" w:lineRule="auto"/>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Centuri shall have delivered to the Administrative Agent such documents reasonably requested by the Administrative Agent or the Required Lenders (through the Administrative Agent) pursuant to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to be delivered at the time required pursuant to </w:t>
      </w:r>
      <w:r>
        <w:rPr>
          <w:rFonts w:ascii="Arial" w:cs="Arial" w:eastAsia="Arial" w:hAnsi="Arial"/>
          <w:sz w:val="17"/>
          <w:szCs w:val="17"/>
          <w:u w:val="single" w:color="auto"/>
          <w:color w:val="auto"/>
        </w:rPr>
        <w:t>Section 8.14</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80" w:firstLine="436"/>
        <w:spacing w:after="0" w:line="259"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Centuri shall be in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(giving effect to any Leverage Ratio Increase that has been elected pursuant to </w:t>
      </w:r>
      <w:r>
        <w:rPr>
          <w:rFonts w:ascii="Arial" w:cs="Arial" w:eastAsia="Arial" w:hAnsi="Arial"/>
          <w:sz w:val="18"/>
          <w:szCs w:val="18"/>
          <w:u w:val="single" w:color="auto"/>
          <w:color w:val="auto"/>
        </w:rPr>
        <w:t>Section 9.13(b)</w:t>
      </w:r>
      <w:r>
        <w:rPr>
          <w:rFonts w:ascii="Arial" w:cs="Arial" w:eastAsia="Arial" w:hAnsi="Arial"/>
          <w:sz w:val="18"/>
          <w:szCs w:val="18"/>
          <w:color w:val="auto"/>
        </w:rPr>
        <w:t>), in each case, calculated on a Pro Forma Basis (as of the most recent Fiscal Quarter end preceding the proposed closing date of the acquisition for which financial statements are available and after giving effect thereto and any Indebtedness incurred in connection therewith);</w:t>
      </w:r>
    </w:p>
    <w:p>
      <w:pPr>
        <w:spacing w:after="0" w:line="186" w:lineRule="exact"/>
        <w:rPr>
          <w:rFonts w:ascii="Arial" w:cs="Arial" w:eastAsia="Arial" w:hAnsi="Arial"/>
          <w:sz w:val="18"/>
          <w:szCs w:val="18"/>
          <w:color w:val="auto"/>
        </w:rPr>
      </w:pPr>
    </w:p>
    <w:p>
      <w:pPr>
        <w:ind w:right="480" w:firstLine="436"/>
        <w:spacing w:after="0" w:line="286" w:lineRule="auto"/>
        <w:tabs>
          <w:tab w:leader="none" w:pos="83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 closing date of such Acquisition, Centuri shall have delivered to the Administrative Agent an Officer’s Compliance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440" w:top="274" w:right="539" w:bottom="1440" w:gutter="0" w:footer="0" w:header="0"/>
        </w:sectPr>
      </w:pPr>
    </w:p>
    <w:bookmarkStart w:id="49" w:name="page50"/>
    <w:bookmarkEnd w:id="49"/>
    <w:p>
      <w:pPr>
        <w:ind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for the most recent fiscal quarter end preceding such Acquisition for which financial statements are available demonstrating, in form and substance reasonably satisfactory to the Administrative Agent, that the condition set forth in paragraph (f) above is satisfied;</w:t>
      </w:r>
    </w:p>
    <w:p>
      <w:pPr>
        <w:spacing w:after="0" w:line="146" w:lineRule="exact"/>
        <w:rPr>
          <w:sz w:val="20"/>
          <w:szCs w:val="20"/>
          <w:color w:val="auto"/>
        </w:rPr>
      </w:pPr>
    </w:p>
    <w:p>
      <w:pPr>
        <w:ind w:right="220" w:firstLine="436"/>
        <w:spacing w:after="0" w:line="275" w:lineRule="auto"/>
        <w:tabs>
          <w:tab w:leader="none" w:pos="83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Permitted Acquisition Consideration for any such Acquisition (or series of related Acquisitions) exceeds $150,000,000 in the aggregate, no later than five (5) Business Days (or such shorter period as agreed to by the Administrative Agent in its sole discretion) prior to the proposed closing date of such Acquisition, Centuri, to the extent requested by the Administrative Agent, (i) shall have delivered to the Administrative Agent promptly upon the finalization thereof copies of substantially final Permitted Acquisition Documents, and (ii) shall have delivered to, or made available for inspection by, the Administrative Agent substantially complete Permitted Acquisition Diligence Information;</w:t>
      </w:r>
    </w:p>
    <w:p>
      <w:pPr>
        <w:spacing w:after="0" w:line="176" w:lineRule="exact"/>
        <w:rPr>
          <w:rFonts w:ascii="Arial" w:cs="Arial" w:eastAsia="Arial" w:hAnsi="Arial"/>
          <w:sz w:val="17"/>
          <w:szCs w:val="17"/>
          <w:color w:val="auto"/>
        </w:rPr>
      </w:pPr>
    </w:p>
    <w:p>
      <w:pPr>
        <w:ind w:right="680" w:firstLine="436"/>
        <w:spacing w:after="0" w:line="277" w:lineRule="auto"/>
        <w:tabs>
          <w:tab w:leader="none" w:pos="7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both before and after giving effect to such Acquisition and any Indebtedness incurred in connection therewith; and</w:t>
      </w:r>
    </w:p>
    <w:p>
      <w:pPr>
        <w:spacing w:after="0" w:line="170" w:lineRule="exact"/>
        <w:rPr>
          <w:rFonts w:ascii="Arial" w:cs="Arial" w:eastAsia="Arial" w:hAnsi="Arial"/>
          <w:sz w:val="18"/>
          <w:szCs w:val="18"/>
          <w:color w:val="auto"/>
        </w:rPr>
      </w:pPr>
    </w:p>
    <w:p>
      <w:pPr>
        <w:ind w:firstLine="436"/>
        <w:spacing w:after="0" w:line="257" w:lineRule="auto"/>
        <w:tabs>
          <w:tab w:leader="none" w:pos="7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Permitted Acquisition Consideration for any such Acquisition (or series of related Acquisitions) exceeds $150,000,000 in the aggregate, Centuri shall have (i) delivered to the Administrative Agent a certificate of a Responsible Officer certifying that all of the requirements set forth above have been satisfied or waived or will be satisfied or waived on or prior to the consummation of such purchase or other Acquisition and (ii) provided such other documents and other information as may be reasonably requested by the Administrative Agent in connection with such purchase or other Acquisition.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Drum Acquisition shall constitute a Permitted Acquisition.</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Consideration</w:t>
      </w:r>
      <w:r>
        <w:rPr>
          <w:rFonts w:ascii="Arial" w:cs="Arial" w:eastAsia="Arial" w:hAnsi="Arial"/>
          <w:sz w:val="18"/>
          <w:szCs w:val="18"/>
          <w:color w:val="auto"/>
        </w:rPr>
        <w:t>” means the aggregate amount of the purchase price, including, but not limited to, any assumed debt, earn-outs (valued at the maximum amount payable thereunder), deferred payments, or Equity Interests of any Borrower or any Subsidiary Guarantor, net of the applicable acquired company’s cash and Cash Equivalents balance (as shown on its most recent financial statements delivered in connection with the applicable Permitted Acquisition) to be paid on a singular basis in connection with any applicable Permitted Acquisition as set forth in the applicable Permitted Acquisition Documents executed by such Borrower or such Subsidiary Guarantor in order to consummate the applicable Permitted Acquisition.</w:t>
      </w:r>
    </w:p>
    <w:p>
      <w:pPr>
        <w:spacing w:after="0" w:line="192"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 Diligence Information</w:t>
      </w:r>
      <w:r>
        <w:rPr>
          <w:rFonts w:ascii="Arial" w:cs="Arial" w:eastAsia="Arial" w:hAnsi="Arial"/>
          <w:sz w:val="17"/>
          <w:szCs w:val="17"/>
          <w:color w:val="auto"/>
        </w:rPr>
        <w:t>” means with respect to any Acquisition proposed by any Borrower or any Subsidiary Guarantor, to the extent applicable, all material financial information, all material contracts, all material customer lists, all material supply agreements, and all other material information, in each case, reasonably requested to be delivered to the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spacing w:after="0" w:line="176"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 Documents</w:t>
      </w:r>
      <w:r>
        <w:rPr>
          <w:rFonts w:ascii="Arial" w:cs="Arial" w:eastAsia="Arial" w:hAnsi="Arial"/>
          <w:sz w:val="16"/>
          <w:szCs w:val="16"/>
          <w:color w:val="auto"/>
        </w:rPr>
        <w:t>” means with respect to any Acquisition proposed by any Borrower or any Subsidiary Guarantor, final copies or substantially final drafts if not executed at the required time of delivery of the purchase agreement, sale agreement, merger agreement, amalgamation agreement or other agreement evidencing such Acquisition, including, without limitation, all legal opinions and each other document executed, delivered, contemplated by or prepared in connection therewith and any amendment, modification or supplement to any of the foregoing.</w:t>
      </w:r>
    </w:p>
    <w:p>
      <w:pPr>
        <w:spacing w:after="0" w:line="15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Drum Equity</w:t>
      </w:r>
      <w:r>
        <w:rPr>
          <w:rFonts w:ascii="Arial" w:cs="Arial" w:eastAsia="Arial" w:hAnsi="Arial"/>
          <w:sz w:val="18"/>
          <w:szCs w:val="18"/>
          <w:color w:val="auto"/>
        </w:rPr>
        <w:t>” means the Equity Interests of Drum Parent LLC (formerly Drum Parent, Inc.) in an amount not to exceed 5.0% of the total Equity Interests of Drum Parent LLC.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50" w:name="page51"/>
    <w:bookmarkEnd w:id="5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the Liens permitted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Receivables Transaction</w:t>
      </w:r>
      <w:r>
        <w:rPr>
          <w:rFonts w:ascii="Arial" w:cs="Arial" w:eastAsia="Arial" w:hAnsi="Arial"/>
          <w:sz w:val="17"/>
          <w:szCs w:val="17"/>
          <w:color w:val="auto"/>
        </w:rPr>
        <w:t xml:space="preserve">” means one or more transactions pursuant to which (a) Receivables Assets or interests therein are sold to or financed by one or more Receivables Subsidiaries, and such Receivables Subsidiaries finance their acquisition of such Receivables Assets or interests therein, or the financing thereof, by selling or borrowing against such Receivables Assets or (b) Receivable Assets or interests therein are sold or discounted directly to one or more investors or other purchasers (other than Centuri or any Subsidiary), including, without limitation, in connection with a supply chain arrangement or other receivables discount program;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such transactions shall be non-recourse (except in respect of fees, costs, indemnifications, representations and warranties and other obligations in which recourse is available against originators or servicers of Receivables Assets included in special-purpose-vehicle receivables financing arrangements, in each case, other than any of the foregoing which are in effect credit support substitutes) to Centuri and its Subsidiaries (other than a Receivables Subsidiary) and neither Centuri nor any of its Subsidiaries (other than a Receivables Subsidiary) shall provide credit support of any kind.</w:t>
      </w:r>
    </w:p>
    <w:p>
      <w:pPr>
        <w:spacing w:after="0" w:line="18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Transaction Documents</w:t>
      </w:r>
      <w:r>
        <w:rPr>
          <w:rFonts w:ascii="Arial" w:cs="Arial" w:eastAsia="Arial" w:hAnsi="Arial"/>
          <w:sz w:val="18"/>
          <w:szCs w:val="18"/>
          <w:color w:val="auto"/>
        </w:rPr>
        <w:t>” means all documents and agreements evidencing, relating to or otherwise governing a Permitted Receivables Transaction.</w:t>
      </w:r>
    </w:p>
    <w:p>
      <w:pPr>
        <w:spacing w:after="0" w:line="17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PPSA</w:t>
      </w:r>
      <w:r>
        <w:rPr>
          <w:rFonts w:ascii="Arial" w:cs="Arial" w:eastAsia="Arial" w:hAnsi="Arial"/>
          <w:sz w:val="17"/>
          <w:szCs w:val="17"/>
          <w:color w:val="auto"/>
        </w:rPr>
        <w:t>” means the Personal Property Security Act of Ontario or any successor statute or similar legislation of any jurisdiction the laws of which are required by such legislation to be applied in connection with the issue, perfection, enforcement, validity or effect of security interests.</w:t>
      </w:r>
    </w:p>
    <w:p>
      <w:pPr>
        <w:spacing w:after="0" w:line="146"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7"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means, for any period during which one or more Specified Transactions occurs, that such Specified Transaction (and all other Specified Transactions that have been consummated during the applicable period) shall be deemed to have occurred as of the first day of the applicable period of measurement and for purposes of calculations made of the financial covenants in </w:t>
      </w:r>
      <w:r>
        <w:rPr>
          <w:rFonts w:ascii="Arial" w:cs="Arial" w:eastAsia="Arial" w:hAnsi="Arial"/>
          <w:sz w:val="16"/>
          <w:szCs w:val="16"/>
          <w:u w:val="single" w:color="auto"/>
          <w:color w:val="auto"/>
        </w:rPr>
        <w:t>Section 9.13</w:t>
      </w:r>
      <w:r>
        <w:rPr>
          <w:rFonts w:ascii="Arial" w:cs="Arial" w:eastAsia="Arial" w:hAnsi="Arial"/>
          <w:sz w:val="16"/>
          <w:szCs w:val="16"/>
          <w:color w:val="auto"/>
        </w:rPr>
        <w:t>, (a) after consummation of any Specified Disposition (i) income statement items (whether positive or negative) and Capital Expenditures attributable to the Property or Person disposed of shall be excluded and (ii) Indebtedness which is retired shall be excluded and deemed to have been retired as of the first day of the applicable period and</w:t>
      </w:r>
    </w:p>
    <w:p>
      <w:pPr>
        <w:spacing w:after="0" w:line="2" w:lineRule="exact"/>
        <w:rPr>
          <w:sz w:val="20"/>
          <w:szCs w:val="20"/>
          <w:color w:val="auto"/>
        </w:rPr>
      </w:pPr>
    </w:p>
    <w:p>
      <w:pPr>
        <w:ind w:left="4" w:right="60" w:hanging="4"/>
        <w:spacing w:after="0" w:line="271" w:lineRule="auto"/>
        <w:tabs>
          <w:tab w:leader="none" w:pos="259"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after consummation of any Permitted Acquisition (i) income statement items (whether positive or negative) and Capital Expenditures attributable to the Person or Property acquired shall, to the extent not otherwise included in such income statement items for Consolidated Companies in accordance with GAAP or in accordance with any defined terms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be included to the extent relating to any period applicable in such calculations, and (ii) to the extent not retired in connection with such Permitted Acquisition, Indebtedness of the Person or Property acquired shall be deemed to have been incurred as of the first day of the applicable period.</w:t>
      </w:r>
    </w:p>
    <w:p>
      <w:pPr>
        <w:spacing w:after="0" w:line="178" w:lineRule="exact"/>
        <w:rPr>
          <w:sz w:val="20"/>
          <w:szCs w:val="20"/>
          <w:color w:val="auto"/>
        </w:rPr>
      </w:pPr>
    </w:p>
    <w:p>
      <w:pPr>
        <w:ind w:left="4"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Equity Interests.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4"/>
          </w:cols>
          <w:pgMar w:left="436" w:top="274" w:right="499" w:bottom="1440" w:gutter="0" w:footer="0" w:header="0"/>
        </w:sectPr>
      </w:pPr>
    </w:p>
    <w:bookmarkStart w:id="51" w:name="page52"/>
    <w:bookmarkEnd w:id="51"/>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any Equity Interests that are not Disqualified Equity Interests.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(including any bills of exchange), notes receivable, lease receivables or other instruments from time to time originated, acquired or otherwise owned by Centuri or any Subsidiary in the ordinary course of business, including any thereof constituting or evidenced by chattel paper, instruments or general intangibles, and all proceeds thereof and rights (contractual and other) and collateral (including all general intangibles, documents, instruments and records) related thereto.</w:t>
      </w:r>
    </w:p>
    <w:p>
      <w:pPr>
        <w:spacing w:after="0" w:line="187"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Subsidiary</w:t>
      </w:r>
      <w:r>
        <w:rPr>
          <w:rFonts w:ascii="Arial" w:cs="Arial" w:eastAsia="Arial" w:hAnsi="Arial"/>
          <w:sz w:val="17"/>
          <w:szCs w:val="17"/>
          <w:color w:val="auto"/>
        </w:rPr>
        <w:t>” means any direct or indirect special purpose, bankruptcy-remote Subsidiary of Centuri established in connection with a Permitted Receivables Transaction for the acquisition of Receivables Assets or interests therein, and which is organized in a manner intended to reduce the likelihood that it would be substantively consolidated with the Borrower or any of its Subsidiaries (other than Receivables Subsidiaries) in the event Centuri or any such Subsidiary becomes subject to a proceeding under any Debtor Relief Laws.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any Issuing Lender, as applicable.</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USD LIBOR, 11:00 a.m. (London time) on the day that is two (2) London Banking Days preceding the date of such setting, and (2) if such Benchmark is not USD LIBOR, the time determined by the Administrative Agent in its reasonable discretion.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5.18(d)</w:t>
      </w:r>
      <w:r>
        <w:rPr>
          <w:rFonts w:ascii="Arial" w:cs="Arial" w:eastAsia="Arial" w:hAnsi="Arial"/>
          <w:sz w:val="18"/>
          <w:szCs w:val="18"/>
          <w:color w:val="auto"/>
        </w:rPr>
        <w:t>.</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Debt</w:t>
      </w:r>
      <w:r>
        <w:rPr>
          <w:rFonts w:ascii="Arial" w:cs="Arial" w:eastAsia="Arial" w:hAnsi="Arial"/>
          <w:sz w:val="18"/>
          <w:szCs w:val="18"/>
          <w:color w:val="auto"/>
        </w:rPr>
        <w:t>” means Refinancing Term Loans, Refinancing Revolving Credit Commitments, Refinancing Revolving Loans and/or Refinancing Notes, as the context requires.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Effective Date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5.18(b)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Lender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5.18(c)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Notes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Revolving Credit Commitments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Revolving Loans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Series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5.18(c)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Loans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12.9(c)</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440" w:top="274" w:right="539" w:bottom="1440" w:gutter="0" w:footer="0" w:header="0"/>
        </w:sectPr>
      </w:pPr>
    </w:p>
    <w:bookmarkStart w:id="52" w:name="page53"/>
    <w:bookmarkEnd w:id="52"/>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means the obligation of the Borrowers to reimburse any Issuing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for amounts drawn under Letters of Credit issued by such Issuing Lender.</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FRB or the Federal Reserve Bank of New York, or a committee officially endorsed or convened by the FRB or the Federal Reserve Bank of New York, or any successor thereto.</w:t>
      </w:r>
    </w:p>
    <w:p>
      <w:pPr>
        <w:spacing w:after="0" w:line="170"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Transaction</w:t>
      </w:r>
      <w:r>
        <w:rPr>
          <w:rFonts w:ascii="Arial" w:cs="Arial" w:eastAsia="Arial" w:hAnsi="Arial"/>
          <w:sz w:val="17"/>
          <w:szCs w:val="17"/>
          <w:color w:val="auto"/>
        </w:rPr>
        <w:t>” means (a) any prepayment or repayment of all or a portion of the Initial Term Loan with the proceeds of, or any conversion of any such Initial Term Loan into, any new or replacement bank Indebtedness or other credit facility (whether under this Agreement or otherwise), including, without limitation, any Refinancing Term Loans or Refinancing Notes, bearing interest with an All-In Yield less than the All-In Yield applicable to such Initial Term Loan subject to such event and (b) any repricing of any of the Initial Term Loan (whether pursuant to an amendment, amendment and restatement, mandatory assignment or otherwise) which reduces the All-In Yield applicable to all or a portion of such Initial Term Loan, in each case, other than in connection with the consummation of an Acquisition not permitted under this Agreement, an initial public offering of Centuri or the occurrence of a Change in Control (so long as the primary purpose of the prepayment or repayment of, or amendment to such Initial Term Loan in connection therewith is not to reduce the All-In Yield applicable to such Initial Term Loan as certified by a financial officer of Centuri in a certificate to the Administrative Agent (on which the Administrative Agent is expressly permitted to rely)).</w:t>
      </w:r>
    </w:p>
    <w:p>
      <w:pPr>
        <w:spacing w:after="0" w:line="18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Facility Lenders</w:t>
      </w:r>
      <w:r>
        <w:rPr>
          <w:rFonts w:ascii="Arial" w:cs="Arial" w:eastAsia="Arial" w:hAnsi="Arial"/>
          <w:sz w:val="18"/>
          <w:szCs w:val="18"/>
          <w:color w:val="auto"/>
        </w:rPr>
        <w:t>” means (a) for the Revolving Credit Facility, the Required Revolving Credit Lenders or (b) for the Term Loan Facility, the Required Term Loan Lenders, as applicable.</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two or more Lenders having Total Credit Exposures representing more than fifty percent (50%) of the Total Credit Exposures of all Lenders or, if the Commitments have been terminated, two or more Lenders holding more than fifty percent (50%) of the aggregate outstanding Extensions of Credit. The Total Credit Exposure of any Defaulting Lender shall be disregarded in determining Required Lenders at any time.</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Credit Lenders</w:t>
      </w:r>
      <w:r>
        <w:rPr>
          <w:rFonts w:ascii="Arial" w:cs="Arial" w:eastAsia="Arial" w:hAnsi="Arial"/>
          <w:sz w:val="18"/>
          <w:szCs w:val="18"/>
          <w:color w:val="auto"/>
        </w:rPr>
        <w:t xml:space="preserve">” means, at any date, any combination of two or more Revolving Credit Lenders that are not Affiliates (except if there is only one Revolving Credit Lender) holding more than fifty percent (50%) of the sum of the aggregate amount of the Revolving Credit Commitment or, if the Revolving Credit Commitment has been terminated, any combination of Revolving Credit Lenders holding more than fifty percent (50%) of the aggregate Extensions of Credit under the Revolving Credit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Credit Commitment of, and the portion of the Extensions of Credit under the Revolving Credit Facility, as applicable, held or deemed held by, any Defaulting Lender shall be excluded for purposes of making a determination of Required Revolving Credit Lenders.</w:t>
      </w:r>
    </w:p>
    <w:p>
      <w:pPr>
        <w:spacing w:after="0" w:line="192"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Loan Lenders</w:t>
      </w:r>
      <w:r>
        <w:rPr>
          <w:rFonts w:ascii="Arial" w:cs="Arial" w:eastAsia="Arial" w:hAnsi="Arial"/>
          <w:sz w:val="18"/>
          <w:szCs w:val="18"/>
          <w:color w:val="auto"/>
        </w:rPr>
        <w:t>” means, at any time, Lenders having outstanding Term Loans, representing more than fifty percent (50%) of the sum of the aggregate outstanding Term Loans at such time. The outstanding Term Loans of any Defaulting Lender shall be disregarded in determining Required Term Loan Lenders at any time.</w:t>
      </w:r>
    </w:p>
    <w:p>
      <w:pPr>
        <w:spacing w:after="0" w:line="184"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 40</w:t>
      </w:r>
    </w:p>
    <w:p>
      <w:pPr>
        <w:sectPr>
          <w:pgSz w:w="11900" w:h="16838" w:orient="portrait"/>
          <w:cols w:equalWidth="0" w:num="1">
            <w:col w:w="11020"/>
          </w:cols>
          <w:pgMar w:left="440" w:top="274" w:right="439" w:bottom="1440" w:gutter="0" w:footer="0" w:header="0"/>
        </w:sectPr>
      </w:pPr>
    </w:p>
    <w:bookmarkStart w:id="53" w:name="page54"/>
    <w:bookmarkEnd w:id="53"/>
    <w:p>
      <w:pPr>
        <w:ind w:right="2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as to any Person, the chief executive officer, president, chief financial officer, controller, treasurer or assistant treasurer of such Person or any other officer of such Person reasonably acceptable to the Administrative Agent. Any document delivered hereunder or under any other Loan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means, with respect to any Extension of Credit, each of the following: (a) each date of a borrowing, conversion or continuation of any Loan, but only as to the amounts so borrowed on such date, (b) each date of issuance of any Letter of Credit, but only as to the Letter of Credit so issued, amended or extended on such date, and (c) such additional dates as the Administrative Agent shall determine or the Required Lenders shall require.</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Commitment</w:t>
      </w:r>
      <w:r>
        <w:rPr>
          <w:rFonts w:ascii="Arial" w:cs="Arial" w:eastAsia="Arial" w:hAnsi="Arial"/>
          <w:sz w:val="16"/>
          <w:szCs w:val="16"/>
          <w:color w:val="auto"/>
        </w:rPr>
        <w:t xml:space="preserve">” means (a) as to any Revolving Credit Lender, the obligation of such Revolving Credit Lender to make Revolving Credit Loans to, and to purchase participations in L/C Obligations and Swingline Loans for the account of, the Borrowers hereunder in an aggregate principal amount at any time outstanding not to exceed the amount set forth opposite such Revolving Credit Lender’s name on the Register, as such amount may be modified at any time or from time to time pursuant to the terms hereof (including, without limitation,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and (b) as to all Revolving Credit Lenders, the aggregate commitment of all Revolving Credit Lenders to make Revolving Credit Loans, as such amount may be modified at any time or from time to time pursuant to the terms hereof (including, without limitation,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The aggregate Revolving Credit Commitment of all the Revolving Credit Lenders on the Closing Date shall be $400,000,000. The initial Revolving Credit Commitment of each Revolving Credit Lender on the Closing Date is set forth opposite the name of such Lender on </w:t>
      </w:r>
      <w:r>
        <w:rPr>
          <w:rFonts w:ascii="Arial" w:cs="Arial" w:eastAsia="Arial" w:hAnsi="Arial"/>
          <w:sz w:val="16"/>
          <w:szCs w:val="16"/>
          <w:u w:val="single" w:color="auto"/>
          <w:color w:val="auto"/>
        </w:rPr>
        <w:t>Schedule 1.1(a)</w:t>
      </w:r>
      <w:r>
        <w:rPr>
          <w:rFonts w:ascii="Arial" w:cs="Arial" w:eastAsia="Arial" w:hAnsi="Arial"/>
          <w:sz w:val="16"/>
          <w:szCs w:val="16"/>
          <w:color w:val="auto"/>
        </w:rPr>
        <w:t>. The Revolving Credit Commitment of any Lender shall include the Extended Revolving Credit Commitment and Refinancing Revolving Credit Commitment of such Lender.</w:t>
      </w:r>
    </w:p>
    <w:p>
      <w:pPr>
        <w:spacing w:after="0" w:line="16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Percentage</w:t>
      </w:r>
      <w:r>
        <w:rPr>
          <w:rFonts w:ascii="Arial" w:cs="Arial" w:eastAsia="Arial" w:hAnsi="Arial"/>
          <w:sz w:val="18"/>
          <w:szCs w:val="18"/>
          <w:color w:val="auto"/>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initial Revolving Credit Commitment of each Revolving Credit Lender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88" w:lineRule="exact"/>
        <w:rPr>
          <w:sz w:val="20"/>
          <w:szCs w:val="20"/>
          <w:color w:val="auto"/>
        </w:rPr>
      </w:pPr>
    </w:p>
    <w:p>
      <w:pPr>
        <w:jc w:val="both"/>
        <w:ind w:right="8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Exposure</w:t>
      </w:r>
      <w:r>
        <w:rPr>
          <w:rFonts w:ascii="Arial" w:cs="Arial" w:eastAsia="Arial" w:hAnsi="Arial"/>
          <w:sz w:val="16"/>
          <w:szCs w:val="16"/>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24"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Facility</w:t>
      </w:r>
      <w:r>
        <w:rPr>
          <w:rFonts w:ascii="Arial" w:cs="Arial" w:eastAsia="Arial" w:hAnsi="Arial"/>
          <w:sz w:val="17"/>
          <w:szCs w:val="17"/>
          <w:color w:val="auto"/>
        </w:rPr>
        <w:t xml:space="preserve">” means the revolving credit facility established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any increase in such revolving credit facility established pursuant to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any Refinance pursuant to </w:t>
      </w:r>
      <w:r>
        <w:rPr>
          <w:rFonts w:ascii="Arial" w:cs="Arial" w:eastAsia="Arial" w:hAnsi="Arial"/>
          <w:sz w:val="17"/>
          <w:szCs w:val="17"/>
          <w:u w:val="single" w:color="auto"/>
          <w:color w:val="auto"/>
        </w:rPr>
        <w:t>Section 5.18</w:t>
      </w:r>
      <w:r>
        <w:rPr>
          <w:rFonts w:ascii="Arial" w:cs="Arial" w:eastAsia="Arial" w:hAnsi="Arial"/>
          <w:sz w:val="17"/>
          <w:szCs w:val="17"/>
          <w:color w:val="auto"/>
        </w:rPr>
        <w:t xml:space="preserve"> and any Extension pursuant to </w:t>
      </w:r>
      <w:r>
        <w:rPr>
          <w:rFonts w:ascii="Arial" w:cs="Arial" w:eastAsia="Arial" w:hAnsi="Arial"/>
          <w:sz w:val="17"/>
          <w:szCs w:val="17"/>
          <w:u w:val="single" w:color="auto"/>
          <w:color w:val="auto"/>
        </w:rPr>
        <w:t>Section 5.19</w:t>
      </w:r>
      <w:r>
        <w:rPr>
          <w:rFonts w:ascii="Arial" w:cs="Arial" w:eastAsia="Arial" w:hAnsi="Arial"/>
          <w:sz w:val="17"/>
          <w:szCs w:val="17"/>
          <w:color w:val="auto"/>
        </w:rPr>
        <w:t>).</w:t>
      </w:r>
    </w:p>
    <w:p>
      <w:pPr>
        <w:spacing w:after="0" w:line="146"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Lenders</w:t>
      </w:r>
      <w:r>
        <w:rPr>
          <w:rFonts w:ascii="Arial" w:cs="Arial" w:eastAsia="Arial" w:hAnsi="Arial"/>
          <w:sz w:val="18"/>
          <w:szCs w:val="18"/>
          <w:color w:val="auto"/>
        </w:rPr>
        <w:t>” means, collectively, all of the Lenders with a Revolving Credit Commitment. With respect to (a) each provision of this Agreement relating to the making or the repayment of any Canadian Revolving Credit Loan, (b) any rights of set-off, (c) any rights of indemnification or expense reimbursement and (d) reserves, capital adequacy or other provisions, each reference to a “Revolving Credit Lender” shall be deemed to include such Revolving Credit Lender’s Applicable Designee with respect to the portion of such Revolving Credit Lender’s Commitment funded by such Applicable Designee.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means, collectively, all US Revolving Credit Loans and all Canadian Revolving Credit Loans.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Maturity Date</w:t>
      </w:r>
      <w:r>
        <w:rPr>
          <w:rFonts w:ascii="Arial" w:cs="Arial" w:eastAsia="Arial" w:hAnsi="Arial"/>
          <w:sz w:val="17"/>
          <w:szCs w:val="17"/>
          <w:color w:val="auto"/>
        </w:rPr>
        <w:t>” means the earliest to occur of (a) August 27, 2026, (b) the date of termination of the entire Revolving Credit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Commitment by the US Borrowers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and (c) the date of termination of the Revolving Credit Commitment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Revolving Credit Maturity Date applicable to Extended Revolving Credit Commitments and Refinancing Revolving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Commitments shall be the final maturity date specified in the relevant documentation for such Extended Revolving Credit Commitments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Refinancing Revolving Credit Commitments.</w:t>
      </w:r>
    </w:p>
    <w:p>
      <w:pPr>
        <w:spacing w:after="0" w:line="21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Outstandings</w:t>
      </w:r>
      <w:r>
        <w:rPr>
          <w:rFonts w:ascii="Arial" w:cs="Arial" w:eastAsia="Arial" w:hAnsi="Arial"/>
          <w:sz w:val="17"/>
          <w:szCs w:val="17"/>
          <w:color w:val="auto"/>
        </w:rPr>
        <w:t xml:space="preserve">” means the </w:t>
      </w:r>
      <w:r>
        <w:rPr>
          <w:rFonts w:ascii="Arial" w:cs="Arial" w:eastAsia="Arial" w:hAnsi="Arial"/>
          <w:sz w:val="17"/>
          <w:szCs w:val="17"/>
          <w:u w:val="single" w:color="auto"/>
          <w:color w:val="auto"/>
        </w:rPr>
        <w:t>sum</w:t>
      </w:r>
      <w:r>
        <w:rPr>
          <w:rFonts w:ascii="Arial" w:cs="Arial" w:eastAsia="Arial" w:hAnsi="Arial"/>
          <w:sz w:val="17"/>
          <w:szCs w:val="17"/>
          <w:color w:val="auto"/>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with respect to any L/C Obligations on any date, the aggregate outstanding amount thereof on such date after giving effect to any Revolving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78"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Extensions of Credit</w:t>
      </w:r>
      <w:r>
        <w:rPr>
          <w:rFonts w:ascii="Arial" w:cs="Arial" w:eastAsia="Arial" w:hAnsi="Arial"/>
          <w:sz w:val="18"/>
          <w:szCs w:val="18"/>
          <w:color w:val="auto"/>
        </w:rPr>
        <w:t>” means (a) any Revolving Credit Loan then outstanding, (b) any Letter of Credit then outstanding or (c) any Swingline Loan then outstanding.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 a division of S&amp;P Global Inc. and any successor thereto.</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region, country or territory which is itself the subject or target of any Sanctions (which, as of the Closing Date, consists of Cuba, Iran, North Korea, Syria and Crimea).</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any Sanctions-related list of designated Persons maintained by OFAC, the U.S. Department of State, the United Nations Security Council, the European Union, any member state of the European Union, Her Majesty’s Treasury of the United Kingdom, Global Affairs Canada, or other relevant sanctions authority, (b) any Person operating, organized or resident in a Sanctioned Country or (c) any Person owned or controlled by any such Person or Persons described in clauses (a) and (b).</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member state of the European Union, Her Majesty’s Treasury of the United Kingdom, Global Affairs Canada, or other relevant sanctions authority.</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between or among any Credit Party or applicable Subsidiary thereof and any Cash Management Bank.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55" w:name="page56"/>
    <w:bookmarkEnd w:id="5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Secured Hedge Agreement</w:t>
      </w:r>
      <w:r>
        <w:rPr>
          <w:rFonts w:ascii="Arial" w:cs="Arial" w:eastAsia="Arial" w:hAnsi="Arial"/>
          <w:sz w:val="16"/>
          <w:szCs w:val="16"/>
          <w:color w:val="auto"/>
        </w:rPr>
        <w:t>” means any Hedge Agreement between or among any Credit Party or applicable Subsidiary thereof and any Hedge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Obligations</w:t>
      </w:r>
      <w:r>
        <w:rPr>
          <w:rFonts w:ascii="Arial" w:cs="Arial" w:eastAsia="Arial" w:hAnsi="Arial"/>
          <w:sz w:val="16"/>
          <w:szCs w:val="16"/>
          <w:color w:val="auto"/>
        </w:rPr>
        <w:t>” means, collectively, (a) the Obligations and (b) all existing or future payment and other obligations owing by any Credit Party under (i) any Secured Hedge Agreement (other than an Excluded Swap Obligation) and (ii) any Secured Cash Management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Canadian Secured Parties and the US Secured Parties.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(15 U.S.C. §§ 77 et seq.).</w:t>
      </w:r>
    </w:p>
    <w:p>
      <w:pPr>
        <w:spacing w:after="0" w:line="225"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means the collective reference to the US Collateral Agreement, Canadian Collateral Agreement, and each other agreement or writing pursuant to which any Credit Party pledges or grants a security interest in any Property or assets securing the Secured Obligations.</w:t>
      </w:r>
    </w:p>
    <w:p>
      <w:pPr>
        <w:spacing w:after="0" w:line="12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 rate).</w:t>
      </w:r>
    </w:p>
    <w:p>
      <w:pPr>
        <w:spacing w:after="0" w:line="237"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Administrator’s Website</w:t>
      </w:r>
      <w:r>
        <w:rPr>
          <w:rFonts w:ascii="Arial" w:cs="Arial" w:eastAsia="Arial" w:hAnsi="Arial"/>
          <w:sz w:val="17"/>
          <w:szCs w:val="17"/>
          <w:color w:val="auto"/>
        </w:rPr>
        <w:t xml:space="preserve">” means the website of the Federal Reserve Bank of New York, currently at </w:t>
      </w:r>
      <w:r>
        <w:rPr>
          <w:rFonts w:ascii="Arial" w:cs="Arial" w:eastAsia="Arial" w:hAnsi="Arial"/>
          <w:sz w:val="17"/>
          <w:szCs w:val="17"/>
          <w:u w:val="single" w:color="auto"/>
          <w:color w:val="auto"/>
        </w:rPr>
        <w:t>http://www.newyorkfed.org</w:t>
      </w:r>
      <w:r>
        <w:rPr>
          <w:rFonts w:ascii="Arial" w:cs="Arial" w:eastAsia="Arial" w:hAnsi="Arial"/>
          <w:sz w:val="17"/>
          <w:szCs w:val="17"/>
          <w:color w:val="auto"/>
        </w:rPr>
        <w:t>, or any successor source for the secured overnight financing rate identified as such by the SOFR Administrator from time to time.</w:t>
      </w:r>
    </w:p>
    <w:p>
      <w:pPr>
        <w:spacing w:after="0" w:line="14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Southwest Gas</w:t>
      </w:r>
      <w:r>
        <w:rPr>
          <w:rFonts w:ascii="Arial" w:cs="Arial" w:eastAsia="Arial" w:hAnsi="Arial"/>
          <w:sz w:val="18"/>
          <w:szCs w:val="18"/>
          <w:color w:val="auto"/>
        </w:rPr>
        <w:t>” means Southwest Gas Holdings, Inc., a Delaware corporation.</w:t>
      </w:r>
    </w:p>
    <w:p>
      <w:pPr>
        <w:spacing w:after="0" w:line="225"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Disposition</w:t>
      </w:r>
      <w:r>
        <w:rPr>
          <w:rFonts w:ascii="Arial" w:cs="Arial" w:eastAsia="Arial" w:hAnsi="Arial"/>
          <w:sz w:val="18"/>
          <w:szCs w:val="18"/>
          <w:color w:val="auto"/>
        </w:rPr>
        <w:t>” means any Asset Disposition (or series of related Asset Dispositions) having gross sales proceeds in excess of $10,000,000.</w:t>
      </w:r>
    </w:p>
    <w:p>
      <w:pPr>
        <w:spacing w:after="0" w:line="170"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Representations</w:t>
      </w:r>
      <w:r>
        <w:rPr>
          <w:rFonts w:ascii="Arial" w:cs="Arial" w:eastAsia="Arial" w:hAnsi="Arial"/>
          <w:sz w:val="16"/>
          <w:szCs w:val="16"/>
          <w:color w:val="auto"/>
        </w:rPr>
        <w:t>” means the representations and warranties set forth in the Loan Documents relating to corporate existence of the Credit Parties and good standing of the Credit Parties in their respective jurisdictions of organization; power and authority, due authorization, execution and delivery and enforceability, in each case, relating to the Credit Parties entering into and performance of the Loan Documents; no conflicts with or consents under the Credit Parties’ organizational documents; Solvency of the Borrowers and their respective subsidiaries on a Consolidated basis as of the Closing Date (after giving effect to the Transactions); Federal Reserve margin regulations; the Investment Company Act;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6" w:name="page57"/>
    <w:bookmarkEnd w:id="5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 not in violation of Sanctions, Anti-Money Laundering Laws, Anti-Corruption Laws and Beneficial Ownership Certifications; and creation, validity and perfection of security interests in the Collateral; and the status of the Credit Facilities and the guaranties thereof as senior debt (or equivalent term) and, to the extent applicable, “designated senior debt” (or an equivalent term).</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Transactions</w:t>
      </w:r>
      <w:r>
        <w:rPr>
          <w:rFonts w:ascii="Arial" w:cs="Arial" w:eastAsia="Arial" w:hAnsi="Arial"/>
          <w:sz w:val="18"/>
          <w:szCs w:val="18"/>
          <w:color w:val="auto"/>
        </w:rPr>
        <w:t>” means (a) any Specified Disposition consummated after the Closing Date, (b) any Permitted Acquisition consummated after the Closing Date and (c) the Transactions.</w:t>
      </w:r>
    </w:p>
    <w:p>
      <w:pPr>
        <w:spacing w:after="0" w:line="170"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obtain such spot rate from another financial institution reasonably designated by the Administrative Agent if the Person acting in such capacity does not have as of the date of determination a spot buying rate for any such currency.</w:t>
      </w:r>
    </w:p>
    <w:p>
      <w:pPr>
        <w:spacing w:after="0" w:line="17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the collective reference to any Indebtedness incurred by any Consolidated Company that is subordinated in right and time of payment to the Obligations on terms and conditions satisfactory to the Administrative Agent.</w:t>
      </w:r>
    </w:p>
    <w:p>
      <w:pPr>
        <w:spacing w:after="0" w:line="170"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Centuri.</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means, collectively, the US Subsidiary Guarantors and the Canadian Subsidiary Guarantors.</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Credit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lesser of (a) $30,000,000 and (b) the Revolving Credit Commitment.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Facility</w:t>
      </w:r>
      <w:r>
        <w:rPr>
          <w:rFonts w:ascii="Arial" w:cs="Arial" w:eastAsia="Arial" w:hAnsi="Arial"/>
          <w:sz w:val="18"/>
          <w:szCs w:val="18"/>
          <w:color w:val="auto"/>
        </w:rPr>
        <w:t xml:space="preserve">” means the swingline facility established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(a) Wells Fargo, solely in its capacity as swingline lender with respect to US Swingline Loans and (b) CIBC, solely in its capacity as swingline lender with respect to Canadian Swingline Loans, in each case, or any successor thereto.</w:t>
      </w:r>
    </w:p>
    <w:p>
      <w:pPr>
        <w:spacing w:after="0" w:line="170"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US Swingline Loan or a Canadian Swingline Loan, as the context requires, and “</w:t>
      </w:r>
      <w:r>
        <w:rPr>
          <w:rFonts w:ascii="Arial" w:cs="Arial" w:eastAsia="Arial" w:hAnsi="Arial"/>
          <w:sz w:val="18"/>
          <w:szCs w:val="18"/>
          <w:u w:val="single" w:color="auto"/>
          <w:color w:val="auto"/>
        </w:rPr>
        <w:t>Swingline Loans</w:t>
      </w:r>
      <w:r>
        <w:rPr>
          <w:rFonts w:ascii="Arial" w:cs="Arial" w:eastAsia="Arial" w:hAnsi="Arial"/>
          <w:sz w:val="18"/>
          <w:szCs w:val="18"/>
          <w:color w:val="auto"/>
        </w:rPr>
        <w:t>” means, collectively, all US Swingline Loans and all Canadian Swingline Loans.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440" w:top="274" w:right="559" w:bottom="1440" w:gutter="0" w:footer="0" w:header="0"/>
        </w:sectPr>
      </w:pPr>
    </w:p>
    <w:bookmarkStart w:id="57" w:name="page58"/>
    <w:bookmarkEnd w:id="57"/>
    <w:p>
      <w:pPr>
        <w:ind w:right="1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Synthetic Lease</w:t>
      </w:r>
      <w:r>
        <w:rPr>
          <w:rFonts w:ascii="Arial" w:cs="Arial" w:eastAsia="Arial" w:hAnsi="Arial"/>
          <w:sz w:val="16"/>
          <w:szCs w:val="16"/>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2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46"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Commitment</w:t>
      </w:r>
      <w:r>
        <w:rPr>
          <w:rFonts w:ascii="Arial" w:cs="Arial" w:eastAsia="Arial" w:hAnsi="Arial"/>
          <w:sz w:val="16"/>
          <w:szCs w:val="16"/>
          <w:color w:val="auto"/>
        </w:rPr>
        <w:t>” means (a) as to any Term Loan Lender, the obligation of such Term Loan Lender to make a portion of the Initial Term Loan and/or Incremental Term Loans, as applicable, to the account of the US Borrowers or the Canadian Borrowers, as applicable, hereunder on the Closing Date or the applicable borrowing date (in the case of any Incremental Term Loan) in an aggregate principal amount not to exceed the amount set forth opposite such Lender’s name on the Register, as such amount may be increased, reduced or otherwise modified at any time or from time to time pursuant to the terms hereof and (b) as to all Term Loan Lenders, the aggregate commitment of all Term Loan Lenders to make such Initial Term Loan. The aggregate Term Loan Commitment with respect to the Initial Term Loan of all Term Loan Lenders on the Closing Date shall be $1,145,000,000.</w:t>
      </w:r>
    </w:p>
    <w:p>
      <w:pPr>
        <w:spacing w:after="0" w:line="16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means the term loan facility established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(including any new term loan facility established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each facility providing for the borrowing of Refinancing Term Loans and each facility providing for the borrowing of Extended Term Loans).</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any Lender with a Term Loan Commitment and/or outstanding Term Loans, each reference to a “Term Loan Lender” shall be deemed to include such Term Loan Lender’s Applicable Designee with respect to the portion of such Term Loan Lender’s Term Loan Commitment funded by such Applicable Designee.</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xml:space="preserve">” means the first to occur of (a) August 27, 2028 and (b) the date of acceleration of the Term Loans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 Loan Maturity Date applicable to Incremental Term Loans, Extended Term Loans and Refinancing Term Loans shall be the final maturity date specified in the relevant documentation for such Incremental Term Loans, Extended Term Loans and Refinancing Term Loans.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Percentage</w:t>
      </w:r>
      <w:r>
        <w:rPr>
          <w:rFonts w:ascii="Arial" w:cs="Arial" w:eastAsia="Arial" w:hAnsi="Arial"/>
          <w:sz w:val="18"/>
          <w:szCs w:val="18"/>
          <w:color w:val="auto"/>
        </w:rPr>
        <w:t>” means, with respect to any Term Loan Lender at any time, the percentage of the total outstanding principal balance of the Term Loans represented by the outstanding principal balance of such Term Loan Lender’s Term Loans.</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Initial Term Loan and, if applicable, the Incremental Term Loans, the Extended Term Loans and the Refinancing Term Loans, and “</w:t>
      </w:r>
      <w:r>
        <w:rPr>
          <w:rFonts w:ascii="Arial" w:cs="Arial" w:eastAsia="Arial" w:hAnsi="Arial"/>
          <w:sz w:val="18"/>
          <w:szCs w:val="18"/>
          <w:u w:val="single" w:color="auto"/>
          <w:color w:val="auto"/>
        </w:rPr>
        <w:t>Term Loan</w:t>
      </w:r>
      <w:r>
        <w:rPr>
          <w:rFonts w:ascii="Arial" w:cs="Arial" w:eastAsia="Arial" w:hAnsi="Arial"/>
          <w:sz w:val="18"/>
          <w:szCs w:val="18"/>
          <w:color w:val="auto"/>
        </w:rPr>
        <w:t>” means any of such Term Loans.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Transition Event</w:t>
      </w:r>
      <w:r>
        <w:rPr>
          <w:rFonts w:ascii="Arial" w:cs="Arial" w:eastAsia="Arial" w:hAnsi="Arial"/>
          <w:sz w:val="18"/>
          <w:szCs w:val="18"/>
          <w:color w:val="auto"/>
        </w:rPr>
        <w:t xml:space="preserve">”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the replacement of the then-current Benchmark for all purposes hereunder and under any Loan Document in accordance with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with a Benchmark Replacement the Unadjusted Benchmark Replacement component of which is not Term SOFR.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8" w:name="page59"/>
    <w:bookmarkEnd w:id="58"/>
    <w:p>
      <w:pPr>
        <w:jc w:val="both"/>
        <w:ind w:left="4" w:right="30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the occurrence of any of the following which, individually or in the aggregate, has resulted or could reasonably be expected to result in liability of the US Borrowers or any of their respective Subsidiaries in an aggregate amount in excess of the Threshold Amount:</w:t>
      </w:r>
    </w:p>
    <w:p>
      <w:pPr>
        <w:ind w:left="244" w:hanging="244"/>
        <w:spacing w:after="0"/>
        <w:tabs>
          <w:tab w:leader="none" w:pos="2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“Reportable Event” described in Section 4043 of ERISA for which the thirty (30) day notice requirement has not been waived by the PBGC, or</w:t>
      </w:r>
    </w:p>
    <w:p>
      <w:pPr>
        <w:spacing w:after="0" w:line="32" w:lineRule="exact"/>
        <w:rPr>
          <w:rFonts w:ascii="Arial" w:cs="Arial" w:eastAsia="Arial" w:hAnsi="Arial"/>
          <w:sz w:val="16"/>
          <w:szCs w:val="16"/>
          <w:color w:val="auto"/>
        </w:rPr>
      </w:pPr>
    </w:p>
    <w:p>
      <w:pPr>
        <w:ind w:left="4" w:hanging="4"/>
        <w:spacing w:after="0" w:line="281" w:lineRule="auto"/>
        <w:tabs>
          <w:tab w:leader="none" w:pos="25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w:t>
      </w:r>
    </w:p>
    <w:p>
      <w:pPr>
        <w:spacing w:after="0" w:line="5" w:lineRule="exact"/>
        <w:rPr>
          <w:rFonts w:ascii="Arial" w:cs="Arial" w:eastAsia="Arial" w:hAnsi="Arial"/>
          <w:sz w:val="16"/>
          <w:szCs w:val="16"/>
          <w:color w:val="auto"/>
        </w:rPr>
      </w:pPr>
    </w:p>
    <w:p>
      <w:pPr>
        <w:jc w:val="both"/>
        <w:ind w:left="4" w:right="140" w:hanging="4"/>
        <w:spacing w:after="0" w:line="273" w:lineRule="auto"/>
        <w:tabs>
          <w:tab w:leader="none" w:pos="219"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$35,000,000.</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Revolving Credit Exposure and outstanding Term Loans of such Lender at such time.</w:t>
      </w:r>
    </w:p>
    <w:p>
      <w:pPr>
        <w:spacing w:after="0" w:line="17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refinancing of Indebtedness outstanding under the Existing Credit Agreement, (b) the refinancing of certain Indebtedness of Drum and its Subsidiaries, (c) the initial Extensions of Credit, (d) the financing of the Drum Acquisition and (e) the payment of the costs incurred in connection with the foregoing.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State of New York.</w:t>
      </w:r>
    </w:p>
    <w:p>
      <w:pPr>
        <w:spacing w:after="0" w:line="225"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59" w:name="page60"/>
    <w:bookmarkEnd w:id="59"/>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Uniform Customs</w:t>
      </w:r>
      <w:r>
        <w:rPr>
          <w:rFonts w:ascii="Arial" w:cs="Arial" w:eastAsia="Arial" w:hAnsi="Arial"/>
          <w:sz w:val="18"/>
          <w:szCs w:val="18"/>
          <w:color w:val="auto"/>
        </w:rPr>
        <w:t>” means the Uniform Customs and Practice for Documentary Credits (2007 Revision), effective July, 2007 International Chamber of Commerce Publication No. 600.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w:t>
      </w:r>
      <w:r>
        <w:rPr>
          <w:rFonts w:ascii="Arial" w:cs="Arial" w:eastAsia="Arial" w:hAnsi="Arial"/>
          <w:sz w:val="17"/>
          <w:szCs w:val="17"/>
          <w:color w:val="auto"/>
        </w:rPr>
        <w:t>” shall mean, when referring to cash and Cash Equivalents of Centuri and its Subsidiaries, that such cash and Cash Equivalents (a) do not appear or would not be required to appear as “restricted” on the financial statements of Centuri or any such Subsidiary (unless related to the Loan Documents or the Liens created thereunder), (b) are not subject to a Lien in favor of any Person other than the Administrative Agent under the Loan Documents, (c) are assets of Centuri or a Subsidiary that is a US Subsidiary and are held in bank accounts or securities accounts located in the United States or (d) are not otherwise unavailable to Centuri or such Subsidiary.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LIBOR</w:t>
      </w:r>
      <w:r>
        <w:rPr>
          <w:rFonts w:ascii="Arial" w:cs="Arial" w:eastAsia="Arial" w:hAnsi="Arial"/>
          <w:sz w:val="18"/>
          <w:szCs w:val="18"/>
          <w:color w:val="auto"/>
        </w:rPr>
        <w:t>” means the London interbank offered rate for Dollars.</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Borrowers</w:t>
      </w:r>
      <w:r>
        <w:rPr>
          <w:rFonts w:ascii="Arial" w:cs="Arial" w:eastAsia="Arial" w:hAnsi="Arial"/>
          <w:sz w:val="18"/>
          <w:szCs w:val="18"/>
          <w:color w:val="auto"/>
        </w:rPr>
        <w:t>” means, collectively, Centuri and each Additional Borrower approved by the Lenders that becomes a party hereto as a US Borrower.</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Cash Management Bank</w:t>
      </w:r>
      <w:r>
        <w:rPr>
          <w:rFonts w:ascii="Arial" w:cs="Arial" w:eastAsia="Arial" w:hAnsi="Arial"/>
          <w:sz w:val="18"/>
          <w:szCs w:val="18"/>
          <w:color w:val="auto"/>
        </w:rPr>
        <w:t>” means any Person that, (a) at the time it enters into a Cash Management Agreement with a US Credit Party or any US Subsidiary thereof, is a Lender, an Affiliate of a Lender, the Administrative Agent or an Affiliate of the Administrative Agent, or (b) at the time it (or its Affiliate) becomes a Lender (including on the Closing Date), is a party to a Cash Management Agreement with a US Credit Party or any US Subsidiary thereof, in each case in its capacity as a party to such Cash Management Agreement.</w:t>
      </w:r>
    </w:p>
    <w:p>
      <w:pPr>
        <w:spacing w:after="0" w:line="187"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Collateral Agreement</w:t>
      </w:r>
      <w:r>
        <w:rPr>
          <w:rFonts w:ascii="Arial" w:cs="Arial" w:eastAsia="Arial" w:hAnsi="Arial"/>
          <w:sz w:val="17"/>
          <w:szCs w:val="17"/>
          <w:color w:val="auto"/>
        </w:rPr>
        <w:t>” means that certain Second Amended and Restated US Collateral Agreement of even date herewith executed by the US Credit Parties in favor of the Administrative Agent, for the ratable benefit of the US Secured Parties and the Canadian Secured Parties.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Credit Parties</w:t>
      </w:r>
      <w:r>
        <w:rPr>
          <w:rFonts w:ascii="Arial" w:cs="Arial" w:eastAsia="Arial" w:hAnsi="Arial"/>
          <w:sz w:val="18"/>
          <w:szCs w:val="18"/>
          <w:color w:val="auto"/>
        </w:rPr>
        <w:t>” means, collectively, the US Borrowers and the US Subsidiary Guarantors.</w:t>
      </w:r>
    </w:p>
    <w:p>
      <w:pPr>
        <w:spacing w:after="0" w:line="225"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Credit Party Guaranty Agreement</w:t>
      </w:r>
      <w:r>
        <w:rPr>
          <w:rFonts w:ascii="Arial" w:cs="Arial" w:eastAsia="Arial" w:hAnsi="Arial"/>
          <w:sz w:val="18"/>
          <w:szCs w:val="18"/>
          <w:color w:val="auto"/>
        </w:rPr>
        <w:t>” means that certain Second Amended and Restated US Credit Party Guaranty Agreement of even date herewith executed by the US Credit Parties in favor of the Administrative Agent, for the ratable benefit of the US Secured Parties and the Canadian Secured Parties.</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Hedge Bank</w:t>
      </w:r>
      <w:r>
        <w:rPr>
          <w:rFonts w:ascii="Arial" w:cs="Arial" w:eastAsia="Arial" w:hAnsi="Arial"/>
          <w:sz w:val="18"/>
          <w:szCs w:val="18"/>
          <w:color w:val="auto"/>
        </w:rPr>
        <w:t xml:space="preserve">” means any Person that, (a) at the time it enters into a Hedge Agreement with a US Credit Party or any US Subsidiary thereof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is a Lender, an Affiliate of a Lender, the Administrative Agent or an Affiliate of the Administrative Agent or (b) at the time it (or its Affiliate) becomes a Lender (including on the Closing Date), is a party to a Hedge Agreement with a US Credit Party or any US Subsidiary thereof, in each case in its capacity as a party to such Hedge Agreement.</w:t>
      </w:r>
    </w:p>
    <w:p>
      <w:pPr>
        <w:spacing w:after="0" w:line="187" w:lineRule="exact"/>
        <w:rPr>
          <w:sz w:val="20"/>
          <w:szCs w:val="20"/>
          <w:color w:val="auto"/>
        </w:rPr>
      </w:pPr>
    </w:p>
    <w:p>
      <w:pPr>
        <w:jc w:val="both"/>
        <w:ind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L/C Obligations</w:t>
      </w:r>
      <w:r>
        <w:rPr>
          <w:rFonts w:ascii="Arial" w:cs="Arial" w:eastAsia="Arial" w:hAnsi="Arial"/>
          <w:sz w:val="16"/>
          <w:szCs w:val="16"/>
          <w:color w:val="auto"/>
        </w:rPr>
        <w:t xml:space="preserve">” means at any time, an amount equal to the sum of (a) the aggregate undrawn and unexpired amount of the then outstanding US Letters of Credit and (b) the aggregate amount of drawings under US Letters of Credit which have not then been reimbursed pursuant to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124" w:lineRule="exact"/>
        <w:rPr>
          <w:sz w:val="20"/>
          <w:szCs w:val="20"/>
          <w:color w:val="auto"/>
        </w:rPr>
      </w:pPr>
    </w:p>
    <w:p>
      <w:pPr>
        <w:jc w:val="both"/>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Letters of Credit</w:t>
      </w:r>
      <w:r>
        <w:rPr>
          <w:rFonts w:ascii="Arial" w:cs="Arial" w:eastAsia="Arial" w:hAnsi="Arial"/>
          <w:sz w:val="17"/>
          <w:szCs w:val="17"/>
          <w:color w:val="auto"/>
        </w:rPr>
        <w:t xml:space="preserve">” means the collective reference to letters of credit denominated in Dollars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“US Letter of Credit” for purposes of the Loan Documents until such time as the Administrative Agent has been notified in writing of the issuance thereof by the applicable Issuing Lender.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60" w:name="page61"/>
    <w:bookmarkEnd w:id="60"/>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US Obligations</w:t>
      </w:r>
      <w:r>
        <w:rPr>
          <w:rFonts w:ascii="Arial" w:cs="Arial" w:eastAsia="Arial" w:hAnsi="Arial"/>
          <w:sz w:val="16"/>
          <w:szCs w:val="16"/>
          <w:color w:val="auto"/>
        </w:rPr>
        <w:t>” means, in each case, whether now in existence or hereafter arising: (a) the principal of and interest on (including interest accruing after the filing of any bankruptcy or similar petition) the Loans (other than the Canadian Revolving Credit Loans, the Canadian Swingline Loans and, to the extent applicable, any Incremental Term Loan made to the Canadian Borrowers), (b) the US L/C Obligations and (c) all other fees and commissions (including attorneys’ fees), charges, indebtedness, loans, liabilities, financial accommodations, obligations, covenants and duties owing by the US Credit Parties to the Lenders, the Issuing Lenders or the Administrative Agent, in each case under any Loan Document, with respect to any Loan (other than any Canadian Revolving Credit Loan, any Canadian Swingline Loan and, to the extent applicable, any Incremental Term Loan made to the Canadian Borrowers) or any US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Credit Loans</w:t>
      </w:r>
      <w:r>
        <w:rPr>
          <w:rFonts w:ascii="Arial" w:cs="Arial" w:eastAsia="Arial" w:hAnsi="Arial"/>
          <w:sz w:val="18"/>
          <w:szCs w:val="18"/>
          <w:color w:val="auto"/>
        </w:rPr>
        <w:t xml:space="preserve">” means any revolving loan denominated in Dollars made to the US Borrowers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and all such revolving loans collectively as the context requires, and shall include any Extended Revolving Credit Loans, any Refinancing Revolving Loans and any loans made pursuant to an Incremental Revolving Credit Facility Increase, in each case, related to such loans.</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Credit Note</w:t>
      </w:r>
      <w:r>
        <w:rPr>
          <w:rFonts w:ascii="Arial" w:cs="Arial" w:eastAsia="Arial" w:hAnsi="Arial"/>
          <w:sz w:val="18"/>
          <w:szCs w:val="18"/>
          <w:color w:val="auto"/>
        </w:rPr>
        <w:t xml:space="preserve">” means a promissory note made by the US Borrowers in favor of a Revolving Credit Lender evidencing the Revolving Credit Loans made by such Revolving Credit Lender, substantially in the form attached as </w:t>
      </w:r>
      <w:r>
        <w:rPr>
          <w:rFonts w:ascii="Arial" w:cs="Arial" w:eastAsia="Arial" w:hAnsi="Arial"/>
          <w:sz w:val="18"/>
          <w:szCs w:val="18"/>
          <w:b w:val="1"/>
          <w:bCs w:val="1"/>
          <w:i w:val="1"/>
          <w:iCs w:val="1"/>
          <w:color w:val="auto"/>
        </w:rPr>
        <w:t>Exhibit A-1</w:t>
      </w:r>
      <w:r>
        <w:rPr>
          <w:rFonts w:ascii="Arial" w:cs="Arial" w:eastAsia="Arial" w:hAnsi="Arial"/>
          <w:sz w:val="18"/>
          <w:szCs w:val="18"/>
          <w:color w:val="auto"/>
        </w:rPr>
        <w:t>, and any substitutes therefor, and any replacements, restatements, renewals or extension thereof, in whole or in part.</w:t>
      </w:r>
    </w:p>
    <w:p>
      <w:pPr>
        <w:spacing w:after="0" w:line="184"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Secured Obligations</w:t>
      </w:r>
      <w:r>
        <w:rPr>
          <w:rFonts w:ascii="Arial" w:cs="Arial" w:eastAsia="Arial" w:hAnsi="Arial"/>
          <w:sz w:val="18"/>
          <w:szCs w:val="18"/>
          <w:color w:val="auto"/>
        </w:rPr>
        <w:t>” means, collectively, (a) the US Obligations and (b) all existing or future payment and other obligations owing by any US Credit Party or any US Subsidiary thereof under (i) any Secured Hedge Agreement with a US Hedge Bank and (ii) any Secured Cash Management Agreement with a US Cash Management Bank.</w:t>
      </w:r>
    </w:p>
    <w:p>
      <w:pPr>
        <w:spacing w:after="0" w:line="184"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Secured Parties</w:t>
      </w:r>
      <w:r>
        <w:rPr>
          <w:rFonts w:ascii="Arial" w:cs="Arial" w:eastAsia="Arial" w:hAnsi="Arial"/>
          <w:sz w:val="17"/>
          <w:szCs w:val="17"/>
          <w:color w:val="auto"/>
        </w:rPr>
        <w:t xml:space="preserve">” means, collectively, the Administrative Agent, the Lenders, the Issuing Lenders, the US Hedge Banks, the US Cash Management Banks, each co-agent or sub-agent appointed by the Administrative Agent from time to time pursuant to </w:t>
      </w:r>
      <w:r>
        <w:rPr>
          <w:rFonts w:ascii="Arial" w:cs="Arial" w:eastAsia="Arial" w:hAnsi="Arial"/>
          <w:sz w:val="17"/>
          <w:szCs w:val="17"/>
          <w:u w:val="single" w:color="auto"/>
          <w:color w:val="auto"/>
        </w:rPr>
        <w:t>Section 12.5</w:t>
      </w:r>
      <w:r>
        <w:rPr>
          <w:rFonts w:ascii="Arial" w:cs="Arial" w:eastAsia="Arial" w:hAnsi="Arial"/>
          <w:sz w:val="17"/>
          <w:szCs w:val="17"/>
          <w:color w:val="auto"/>
        </w:rPr>
        <w:t>, any other holder from time to time of any US Secured Obligations and, in each case, their respective successors and permitted assigns.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Subsidiary</w:t>
      </w:r>
      <w:r>
        <w:rPr>
          <w:rFonts w:ascii="Arial" w:cs="Arial" w:eastAsia="Arial" w:hAnsi="Arial"/>
          <w:sz w:val="17"/>
          <w:szCs w:val="17"/>
          <w:color w:val="auto"/>
        </w:rPr>
        <w:t>” means any Subsidiary that is organized under the laws of the United States, any State thereof or the District of Columbia.</w:t>
      </w:r>
    </w:p>
    <w:p>
      <w:pPr>
        <w:spacing w:after="0" w:line="23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 Guarantors</w:t>
      </w:r>
      <w:r>
        <w:rPr>
          <w:rFonts w:ascii="Arial" w:cs="Arial" w:eastAsia="Arial" w:hAnsi="Arial"/>
          <w:sz w:val="18"/>
          <w:szCs w:val="18"/>
          <w:color w:val="auto"/>
        </w:rPr>
        <w:t xml:space="preserve">” means, collectively, all US Subsidiaries in existence on the Closing Date or which become parties to the US Credit Party Guaranty Agreement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Swingline Loan</w:t>
      </w:r>
      <w:r>
        <w:rPr>
          <w:rFonts w:ascii="Arial" w:cs="Arial" w:eastAsia="Arial" w:hAnsi="Arial"/>
          <w:sz w:val="18"/>
          <w:szCs w:val="18"/>
          <w:color w:val="auto"/>
        </w:rPr>
        <w:t xml:space="preserve">” means any swingline loan denominated in Dollars made by the applicable Swingline Lender to a US Borrower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and all such swingline loans collectively as the context requires.</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Swingline Note</w:t>
      </w:r>
      <w:r>
        <w:rPr>
          <w:rFonts w:ascii="Arial" w:cs="Arial" w:eastAsia="Arial" w:hAnsi="Arial"/>
          <w:sz w:val="18"/>
          <w:szCs w:val="18"/>
          <w:color w:val="auto"/>
        </w:rPr>
        <w:t xml:space="preserve">” means a promissory note made by the US Borrowers in favor of the applicable Swingline Lender evidencing the Swingline Loans made by the applicable Swingline Lender, substantially in the form attached as </w:t>
      </w:r>
      <w:r>
        <w:rPr>
          <w:rFonts w:ascii="Arial" w:cs="Arial" w:eastAsia="Arial" w:hAnsi="Arial"/>
          <w:sz w:val="18"/>
          <w:szCs w:val="18"/>
          <w:b w:val="1"/>
          <w:bCs w:val="1"/>
          <w:i w:val="1"/>
          <w:iCs w:val="1"/>
          <w:color w:val="auto"/>
        </w:rPr>
        <w:t>Exhibit A-3</w:t>
      </w:r>
      <w:r>
        <w:rPr>
          <w:rFonts w:ascii="Arial" w:cs="Arial" w:eastAsia="Arial" w:hAnsi="Arial"/>
          <w:sz w:val="18"/>
          <w:szCs w:val="18"/>
          <w:color w:val="auto"/>
        </w:rPr>
        <w:t>, and any substitutes therefor, and any replacements, restatements, renewals or extension thereof, in whole or in part.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61" w:name="page62"/>
    <w:bookmarkEnd w:id="6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5.11(g)</w:t>
      </w:r>
      <w:r>
        <w:rPr>
          <w:rFonts w:ascii="Arial" w:cs="Arial" w:eastAsia="Arial" w:hAnsi="Arial"/>
          <w:sz w:val="18"/>
          <w:szCs w:val="18"/>
          <w:color w:val="auto"/>
        </w:rPr>
        <w:t>.</w:t>
      </w:r>
    </w:p>
    <w:p>
      <w:pPr>
        <w:spacing w:after="0" w:line="225"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Term Loan Note</w:t>
      </w:r>
      <w:r>
        <w:rPr>
          <w:rFonts w:ascii="Arial" w:cs="Arial" w:eastAsia="Arial" w:hAnsi="Arial"/>
          <w:sz w:val="18"/>
          <w:szCs w:val="18"/>
          <w:color w:val="auto"/>
        </w:rPr>
        <w:t xml:space="preserve">” means a promissory note made by the US Borrowers in favor of a Term Loan Lender evidencing the portion of the Term Loans made by such Term Loan Lender to the US Borrowers, substantially in the form attached as </w:t>
      </w:r>
      <w:r>
        <w:rPr>
          <w:rFonts w:ascii="Arial" w:cs="Arial" w:eastAsia="Arial" w:hAnsi="Arial"/>
          <w:sz w:val="18"/>
          <w:szCs w:val="18"/>
          <w:b w:val="1"/>
          <w:bCs w:val="1"/>
          <w:i w:val="1"/>
          <w:iCs w:val="1"/>
          <w:color w:val="auto"/>
        </w:rPr>
        <w:t>Exhibit A-5</w:t>
      </w:r>
      <w:r>
        <w:rPr>
          <w:rFonts w:ascii="Arial" w:cs="Arial" w:eastAsia="Arial" w:hAnsi="Arial"/>
          <w:sz w:val="18"/>
          <w:szCs w:val="18"/>
          <w:color w:val="auto"/>
        </w:rPr>
        <w:t>, and any substitutes therefor, and any replacements, restatements, renewals or extensions thereof, in whole or in part.</w:t>
      </w:r>
    </w:p>
    <w:p>
      <w:pPr>
        <w:spacing w:after="0" w:line="184"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in each case of clauses (a) and (b), without giving effect to the application of any prior prepayment to such installment, sinking fund, serial maturity or other required payment of principal.</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 a national banking association.</w:t>
      </w:r>
    </w:p>
    <w:p>
      <w:pPr>
        <w:spacing w:after="0" w:line="225" w:lineRule="exact"/>
        <w:rPr>
          <w:sz w:val="20"/>
          <w:szCs w:val="20"/>
          <w:color w:val="auto"/>
        </w:rPr>
      </w:pPr>
    </w:p>
    <w:p>
      <w:pPr>
        <w:ind w:left="4" w:right="5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w:t>
      </w:r>
      <w:r>
        <w:rPr>
          <w:rFonts w:ascii="Arial" w:cs="Arial" w:eastAsia="Arial" w:hAnsi="Arial"/>
          <w:sz w:val="17"/>
          <w:szCs w:val="17"/>
          <w:color w:val="auto"/>
        </w:rPr>
        <w:t>” means, with respect to a Subsidiary, that all of the Equity Interests of such Subsidiary are, directly or indirectly, owned or controlled by Centuri and/or one or more of its Wholly-Owned Subsidiaries (except for directors’ qualifying shares or other shares required by Applicable Law to be owned by a Person other than Centuri and/or one or more of its Wholly-Owned Subsidiaries).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Credit Party and the Administrative Agent.</w:t>
      </w:r>
    </w:p>
    <w:p>
      <w:pPr>
        <w:spacing w:after="0" w:line="225"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w:t>
      </w:r>
      <w:r>
        <w:rPr>
          <w:rFonts w:ascii="Arial" w:cs="Arial" w:eastAsia="Arial" w:hAnsi="Arial"/>
          <w:sz w:val="17"/>
          <w:szCs w:val="17"/>
          <w:color w:val="auto"/>
        </w:rPr>
        <w:t>” means, for Centuri and its Subsidiaries on a Consolidated basis and calculated in accordance with GAAP, as of any date of determination, the excess of (a) current assets (other than cash, Cash Equivalents, taxes and deferred taxes) over (b) current liabilities, excluding, without duplication, (i) the current portion of any long-term Indebtedness, (ii) outstanding Revolving Credit Loans and Swingline Loans, (iii) the current portion of current taxes and deferred income taxes and (iv) the current portion of accrued Consolidated Interest Expense.</w:t>
      </w:r>
    </w:p>
    <w:p>
      <w:pPr>
        <w:spacing w:after="0" w:line="171"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left="4" w:right="200" w:firstLine="440"/>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Other Definitions and Provisions</w:t>
      </w:r>
      <w:r>
        <w:rPr>
          <w:rFonts w:ascii="Arial" w:cs="Arial" w:eastAsia="Arial" w:hAnsi="Arial"/>
          <w:sz w:val="16"/>
          <w:szCs w:val="16"/>
          <w:color w:val="auto"/>
        </w:rPr>
        <w:t>. With reference to this Agreement and each other Loan Document, unless otherwise specified herein or in such other Loan Document: (a) the definitions of terms herein shall apply equally to the singular and plural forms of the terms defined,</w:t>
      </w:r>
    </w:p>
    <w:p>
      <w:pPr>
        <w:ind w:left="4" w:right="420" w:hanging="4"/>
        <w:spacing w:after="0" w:line="260" w:lineRule="auto"/>
        <w:tabs>
          <w:tab w:leader="none" w:pos="2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 (c) the words “include”, “includes” and “including” shall be deemed to be followed by the phrase “without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62" w:name="page63"/>
    <w:bookmarkEnd w:id="62"/>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289"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117" w:lineRule="exact"/>
        <w:rPr>
          <w:sz w:val="20"/>
          <w:szCs w:val="20"/>
          <w:color w:val="auto"/>
        </w:rPr>
      </w:pPr>
    </w:p>
    <w:p>
      <w:pPr>
        <w:ind w:right="160" w:firstLine="436"/>
        <w:spacing w:after="0" w:line="254" w:lineRule="auto"/>
        <w:tabs>
          <w:tab w:leader="none" w:pos="8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Consolidated Companies shall be deemed to be carried at 100% of the outstanding principal amount thereof, and the effects of FASB ASC 825 and FASB ASC 470-20 on financial liabilities shall be disregarded.</w:t>
      </w:r>
    </w:p>
    <w:p>
      <w:pPr>
        <w:spacing w:after="0" w:line="194" w:lineRule="exact"/>
        <w:rPr>
          <w:rFonts w:ascii="Arial" w:cs="Arial" w:eastAsia="Arial" w:hAnsi="Arial"/>
          <w:sz w:val="18"/>
          <w:szCs w:val="18"/>
          <w:color w:val="auto"/>
        </w:rPr>
      </w:pPr>
    </w:p>
    <w:p>
      <w:pPr>
        <w:ind w:firstLine="436"/>
        <w:spacing w:after="0" w:line="269" w:lineRule="auto"/>
        <w:tabs>
          <w:tab w:leader="none" w:pos="83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If at any time any change in GAAP would affect the computation of any financial ratio or requirement set forth in any Loan Document, and either the Borrowers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treated as Capital Lease Obligations in the financial statements.</w:t>
      </w:r>
    </w:p>
    <w:p>
      <w:pPr>
        <w:spacing w:after="0" w:line="18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UCC and PPSA Terms</w:t>
      </w:r>
      <w:r>
        <w:rPr>
          <w:rFonts w:ascii="Arial" w:cs="Arial" w:eastAsia="Arial" w:hAnsi="Arial"/>
          <w:sz w:val="17"/>
          <w:szCs w:val="17"/>
          <w:color w:val="auto"/>
        </w:rPr>
        <w:t xml:space="preserve">. Terms defined in the UCC and/or the PPSA in effect on the Closing Date and not otherwise defined herein shall, unless the context otherwise indicates, have the meanings provided in the UCC and/or the PPSA,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term is defined in both the UCC and the PPSA and not otherwise defined herein, such term shall have the meaning provided in the UCC. Subject to the foregoing, the term “UCC” and “PPSA” refers, as of any date of determination, to the UCC or PPSA then in effect.</w:t>
      </w:r>
    </w:p>
    <w:p>
      <w:pPr>
        <w:spacing w:after="0" w:line="171"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Rounding</w:t>
      </w:r>
      <w:r>
        <w:rPr>
          <w:rFonts w:ascii="Arial" w:cs="Arial" w:eastAsia="Arial" w:hAnsi="Arial"/>
          <w:sz w:val="17"/>
          <w:szCs w:val="17"/>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40" w:top="274" w:right="499" w:bottom="1440" w:gutter="0" w:footer="0" w:header="0"/>
        </w:sectPr>
      </w:pPr>
    </w:p>
    <w:bookmarkStart w:id="63" w:name="page64"/>
    <w:bookmarkEnd w:id="63"/>
    <w:p>
      <w:pPr>
        <w:ind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Arial" w:cs="Arial" w:eastAsia="Arial" w:hAnsi="Arial"/>
          <w:sz w:val="17"/>
          <w:szCs w:val="17"/>
          <w:u w:val="single" w:color="auto"/>
          <w:color w:val="auto"/>
        </w:rPr>
        <w:t>References to Agreement and Laws</w:t>
      </w:r>
      <w:r>
        <w:rPr>
          <w:rFonts w:ascii="Arial" w:cs="Arial" w:eastAsia="Arial" w:hAnsi="Arial"/>
          <w:sz w:val="17"/>
          <w:szCs w:val="17"/>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without limitation, the Code, the Commodity Exchange Act, ERISA, the Exchange Act, the PATRIOT Act, the Securities Act, the UCC, the PPSA, the Investment Company Act, the Interstate Commerce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7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278"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Letter of Credit Amounts</w:t>
      </w:r>
      <w:r>
        <w:rPr>
          <w:rFonts w:ascii="Arial" w:cs="Arial" w:eastAsia="Arial" w:hAnsi="Arial"/>
          <w:sz w:val="16"/>
          <w:szCs w:val="16"/>
          <w:color w:val="auto"/>
        </w:rPr>
        <w:t>.</w:t>
      </w:r>
    </w:p>
    <w:p>
      <w:pPr>
        <w:spacing w:after="0" w:line="117" w:lineRule="exact"/>
        <w:rPr>
          <w:sz w:val="20"/>
          <w:szCs w:val="20"/>
          <w:color w:val="auto"/>
        </w:rPr>
      </w:pPr>
    </w:p>
    <w:p>
      <w:pPr>
        <w:ind w:right="120" w:firstLine="436"/>
        <w:spacing w:after="0" w:line="301" w:lineRule="auto"/>
        <w:tabs>
          <w:tab w:leader="none" w:pos="8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Unless otherwise specified, all references herein to the amount of a Letter of Credit at any time shall be deemed to mean the 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 amount may be reduced by (i) any permanent reduction of such Letter of Credit or (ii) any amount which is drawn, reimbursed and no longer available under such Letter of Credit).</w:t>
      </w:r>
    </w:p>
    <w:p>
      <w:pPr>
        <w:spacing w:after="0" w:line="157" w:lineRule="exact"/>
        <w:rPr>
          <w:rFonts w:ascii="Arial" w:cs="Arial" w:eastAsia="Arial" w:hAnsi="Arial"/>
          <w:sz w:val="16"/>
          <w:szCs w:val="16"/>
          <w:color w:val="auto"/>
        </w:rPr>
      </w:pPr>
    </w:p>
    <w:p>
      <w:pPr>
        <w:ind w:right="340" w:firstLine="436"/>
        <w:spacing w:after="0" w:line="277"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Articles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the applicable outstanding amount of all Canadian Letters of Credit and Canadian L/C Obligations shall be deemed to refer to the Dollar Amount thereof.</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Guarantees/Earn-Outs</w:t>
      </w:r>
      <w:r>
        <w:rPr>
          <w:rFonts w:ascii="Arial" w:cs="Arial" w:eastAsia="Arial" w:hAnsi="Arial"/>
          <w:sz w:val="18"/>
          <w:szCs w:val="18"/>
          <w:color w:val="auto"/>
        </w:rPr>
        <w:t>. 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Alternative Currency Matters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91" w:lineRule="auto"/>
        <w:tabs>
          <w:tab w:leader="none" w:pos="82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Covenant Compliance Generally</w:t>
      </w:r>
      <w:r>
        <w:rPr>
          <w:rFonts w:ascii="Arial" w:cs="Arial" w:eastAsia="Arial" w:hAnsi="Arial"/>
          <w:sz w:val="16"/>
          <w:szCs w:val="16"/>
          <w:color w:val="auto"/>
        </w:rPr>
        <w:t xml:space="preserve">. For purposes of determining compliance under </w:t>
      </w:r>
      <w:r>
        <w:rPr>
          <w:rFonts w:ascii="Arial" w:cs="Arial" w:eastAsia="Arial" w:hAnsi="Arial"/>
          <w:sz w:val="16"/>
          <w:szCs w:val="16"/>
          <w:u w:val="single" w:color="auto"/>
          <w:color w:val="auto"/>
        </w:rPr>
        <w:t>Sections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t>
      </w:r>
      <w:r>
        <w:rPr>
          <w:rFonts w:ascii="Arial" w:cs="Arial" w:eastAsia="Arial" w:hAnsi="Arial"/>
          <w:sz w:val="16"/>
          <w:szCs w:val="16"/>
          <w:u w:val="single" w:color="auto"/>
          <w:color w:val="auto"/>
        </w:rPr>
        <w:t>9.5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9.6</w:t>
      </w:r>
      <w:r>
        <w:rPr>
          <w:rFonts w:ascii="Arial" w:cs="Arial" w:eastAsia="Arial" w:hAnsi="Arial"/>
          <w:sz w:val="16"/>
          <w:szCs w:val="16"/>
          <w:color w:val="auto"/>
        </w:rPr>
        <w:t xml:space="preserve">, any amount in a currency other than Dollars will be converted to Dollars in a manner consistent with that used in calculating Consolidated Net Income in the most recent annual financial statements of the Consolidated Companies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Notwithstanding the foregoing, for purposes of determining compliance with </w:t>
      </w:r>
      <w:r>
        <w:rPr>
          <w:rFonts w:ascii="Arial" w:cs="Arial" w:eastAsia="Arial" w:hAnsi="Arial"/>
          <w:sz w:val="16"/>
          <w:szCs w:val="16"/>
          <w:u w:val="single" w:color="auto"/>
          <w:color w:val="auto"/>
        </w:rPr>
        <w:t>Sections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shall otherwise apply to such Sections, including with respect to determining whether any Indebtedness or Investment may be incurred at any time under such Sections.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64" w:name="page65"/>
    <w:bookmarkEnd w:id="64"/>
    <w:p>
      <w:pPr>
        <w:ind w:left="4" w:firstLine="436"/>
        <w:spacing w:after="0" w:line="259" w:lineRule="auto"/>
        <w:tabs>
          <w:tab w:leader="none" w:pos="83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Obligations</w:t>
      </w:r>
      <w:r>
        <w:rPr>
          <w:rFonts w:ascii="Arial" w:cs="Arial" w:eastAsia="Arial" w:hAnsi="Arial"/>
          <w:sz w:val="18"/>
          <w:szCs w:val="18"/>
          <w:color w:val="auto"/>
        </w:rPr>
        <w:t>. Unless otherwise specified, for purposes of this Agreement, any determination of the amount of any outstanding Canadian Revolving Credit Loans, Canadian Swingline Loans, Incremental Term Loans denominated in Canadian Dollars or Canadian Obligations shall be based upon the Dollar Amount of such Canadian Revolving Credit Loans, Canadian Swingline Loans, Incremental Term Loans denominated in Canadian Dollars or Canadian Obligations, as the case may be.</w:t>
      </w:r>
    </w:p>
    <w:p>
      <w:pPr>
        <w:spacing w:after="0" w:line="186" w:lineRule="exact"/>
        <w:rPr>
          <w:rFonts w:ascii="Arial" w:cs="Arial" w:eastAsia="Arial" w:hAnsi="Arial"/>
          <w:sz w:val="18"/>
          <w:szCs w:val="18"/>
          <w:color w:val="auto"/>
        </w:rPr>
      </w:pPr>
    </w:p>
    <w:p>
      <w:pPr>
        <w:ind w:left="4" w:firstLine="436"/>
        <w:spacing w:after="0" w:line="259" w:lineRule="auto"/>
        <w:tabs>
          <w:tab w:leader="none" w:pos="8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Exchange Rates</w:t>
      </w:r>
      <w:r>
        <w:rPr>
          <w:rFonts w:ascii="Arial" w:cs="Arial" w:eastAsia="Arial" w:hAnsi="Arial"/>
          <w:sz w:val="18"/>
          <w:szCs w:val="18"/>
          <w:color w:val="auto"/>
        </w:rPr>
        <w:t>. The Administrative Agent shall determine the Spot Rates as of each Revaluation Date to be used for calculating Dollar Amount of any Extensions of Credit and Revolving Credit Outstandings denominated in Canadian Dollars. Such Spot Rates shall become effective as of such Revaluation Date and shall be the Spot Rates employed in converting any amounts between the applicable currencies until the next Revaluation Date to occur.</w:t>
      </w:r>
    </w:p>
    <w:p>
      <w:pPr>
        <w:spacing w:after="0" w:line="187"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Rates</w:t>
      </w:r>
      <w:r>
        <w:rPr>
          <w:rFonts w:ascii="Arial" w:cs="Arial" w:eastAsia="Arial" w:hAnsi="Arial"/>
          <w:sz w:val="16"/>
          <w:szCs w:val="16"/>
          <w:color w:val="auto"/>
        </w:rPr>
        <w:t>. The interest rate on LIBOR Rate Loans and Base Rate Loans (when determined by reference to clause (c) of the definition of Base Rate) may be determined by reference to LIBOR, which is derived from the London interbank offered rate. The London interbank offered rate is intended to represent the rate at which contributing banks may obtain short-term borrowings from each other in the London interbank market. On March 5, 2021, ICE Benchmark Administration (“</w:t>
      </w:r>
      <w:r>
        <w:rPr>
          <w:rFonts w:ascii="Arial" w:cs="Arial" w:eastAsia="Arial" w:hAnsi="Arial"/>
          <w:sz w:val="16"/>
          <w:szCs w:val="16"/>
          <w:u w:val="single" w:color="auto"/>
          <w:color w:val="auto"/>
        </w:rPr>
        <w:t>IBA</w:t>
      </w:r>
      <w:r>
        <w:rPr>
          <w:rFonts w:ascii="Arial" w:cs="Arial" w:eastAsia="Arial" w:hAnsi="Arial"/>
          <w:sz w:val="16"/>
          <w:szCs w:val="16"/>
          <w:color w:val="auto"/>
        </w:rPr>
        <w:t>”), the administrator of the London interbank offered rate, and the Financial Conduct Authority (the “</w:t>
      </w:r>
      <w:r>
        <w:rPr>
          <w:rFonts w:ascii="Arial" w:cs="Arial" w:eastAsia="Arial" w:hAnsi="Arial"/>
          <w:sz w:val="16"/>
          <w:szCs w:val="16"/>
          <w:u w:val="single" w:color="auto"/>
          <w:color w:val="auto"/>
        </w:rPr>
        <w:t>FCA</w:t>
      </w:r>
      <w:r>
        <w:rPr>
          <w:rFonts w:ascii="Arial" w:cs="Arial" w:eastAsia="Arial" w:hAnsi="Arial"/>
          <w:sz w:val="16"/>
          <w:szCs w:val="16"/>
          <w:color w:val="auto"/>
        </w:rPr>
        <w:t>”), the regulatory supervisor of IBA, announced in public statements (the “</w:t>
      </w:r>
      <w:r>
        <w:rPr>
          <w:rFonts w:ascii="Arial" w:cs="Arial" w:eastAsia="Arial" w:hAnsi="Arial"/>
          <w:sz w:val="16"/>
          <w:szCs w:val="16"/>
          <w:u w:val="single" w:color="auto"/>
          <w:color w:val="auto"/>
        </w:rPr>
        <w:t>Announcements</w:t>
      </w:r>
      <w:r>
        <w:rPr>
          <w:rFonts w:ascii="Arial" w:cs="Arial" w:eastAsia="Arial" w:hAnsi="Arial"/>
          <w:sz w:val="16"/>
          <w:szCs w:val="16"/>
          <w:color w:val="auto"/>
        </w:rPr>
        <w:t>”) that the final publication or representativeness date for the London interbank offered rate for Dollars for: (a) 1-week and 2-month tenor settings will be December 31, 2021 and</w:t>
      </w:r>
    </w:p>
    <w:p>
      <w:pPr>
        <w:spacing w:after="0" w:line="4" w:lineRule="exact"/>
        <w:rPr>
          <w:sz w:val="20"/>
          <w:szCs w:val="20"/>
          <w:color w:val="auto"/>
        </w:rPr>
      </w:pPr>
    </w:p>
    <w:p>
      <w:pPr>
        <w:ind w:left="4" w:hanging="4"/>
        <w:spacing w:after="0" w:line="283" w:lineRule="auto"/>
        <w:tabs>
          <w:tab w:leader="none" w:pos="259"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overnight, 1-month, 3-month, 6-month and 12-month tenor settings will be June 30, 2023. No successor administrator for IBA was identified in such Announcements. As a result, it is possible that commencing immediately after such dates, the London interbank offered rate for such tenors may no longer be available or may no longer be deemed a representative reference rate upon which to determine the interest rate on LIBOR Rate Loans or Base Rate Loans (when determined by reference to clause (c) of the definition of Base Rate). There is no assurance that the dates set forth in the Announcements will not change or that IBA or the FCA will not take further action that could impact the availability, composition or characteristics of any London interbank offered rate. Public and private sector industry initiatives have been and continue, as of the date hereof, to be underway to implement new or alternative reference rates to be used in place of the London interbank offered rate. In the event that the London interbank offered rate or any other then-current Benchmark is no longer available or in certain other circumstances set forth in </w:t>
      </w:r>
      <w:r>
        <w:rPr>
          <w:rFonts w:ascii="Arial" w:cs="Arial" w:eastAsia="Arial" w:hAnsi="Arial"/>
          <w:sz w:val="16"/>
          <w:szCs w:val="16"/>
          <w:u w:val="single" w:color="auto"/>
          <w:color w:val="auto"/>
        </w:rPr>
        <w:t>Section 5.8(c)</w:t>
      </w:r>
      <w:r>
        <w:rPr>
          <w:rFonts w:ascii="Arial" w:cs="Arial" w:eastAsia="Arial" w:hAnsi="Arial"/>
          <w:sz w:val="16"/>
          <w:szCs w:val="16"/>
          <w:color w:val="auto"/>
        </w:rPr>
        <w:t xml:space="preserve">, such </w:t>
      </w:r>
      <w:r>
        <w:rPr>
          <w:rFonts w:ascii="Arial" w:cs="Arial" w:eastAsia="Arial" w:hAnsi="Arial"/>
          <w:sz w:val="16"/>
          <w:szCs w:val="16"/>
          <w:u w:val="single" w:color="auto"/>
          <w:color w:val="auto"/>
        </w:rPr>
        <w:t>Section 5.8(c)</w:t>
      </w:r>
      <w:r>
        <w:rPr>
          <w:rFonts w:ascii="Arial" w:cs="Arial" w:eastAsia="Arial" w:hAnsi="Arial"/>
          <w:sz w:val="16"/>
          <w:szCs w:val="16"/>
          <w:color w:val="auto"/>
        </w:rPr>
        <w:t xml:space="preserve"> provides a mechanism for determining an alternative rate of interest. The Administrative Agent will notify Centuri, pursuant to </w:t>
      </w:r>
      <w:r>
        <w:rPr>
          <w:rFonts w:ascii="Arial" w:cs="Arial" w:eastAsia="Arial" w:hAnsi="Arial"/>
          <w:sz w:val="16"/>
          <w:szCs w:val="16"/>
          <w:u w:val="single" w:color="auto"/>
          <w:color w:val="auto"/>
        </w:rPr>
        <w:t>Section 5.8(c)</w:t>
      </w:r>
      <w:r>
        <w:rPr>
          <w:rFonts w:ascii="Arial" w:cs="Arial" w:eastAsia="Arial" w:hAnsi="Arial"/>
          <w:sz w:val="16"/>
          <w:szCs w:val="16"/>
          <w:color w:val="auto"/>
        </w:rPr>
        <w:t xml:space="preserve">, of any change to the reference rate upon which the interest rate on LIBOR Rate Loans and Base Rate Loans (when determined by reference to clause (c) of the definition of Base Rate) is based. However, the Administrative Agent does not warrant or accept any responsibility for, and shall not have any liability with respect to, (i) the continuation of, administration of, submission of, calculation of or any other matter related to the London interbank offered rate or other rates in the definition of “LIBOR”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6"/>
          <w:szCs w:val="16"/>
          <w:u w:val="single" w:color="auto"/>
          <w:color w:val="auto"/>
        </w:rPr>
        <w:t>Section 5.8(c)</w:t>
      </w:r>
      <w:r>
        <w:rPr>
          <w:rFonts w:ascii="Arial" w:cs="Arial" w:eastAsia="Arial" w:hAnsi="Arial"/>
          <w:sz w:val="16"/>
          <w:szCs w:val="16"/>
          <w:color w:val="auto"/>
        </w:rPr>
        <w:t>, will be similar to, or produce the same value or economic equivalence of, LIBOR or any other Benchmark, or have the same volume or liquidity as did the London interbank offered rate or any other Benchmark prior to its discontinuance or unavailability, or (ii) the effect, implementation or composition of any Benchmark Replacement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referenced in the definition thereof, in each case pursuant to the terms of this Agreement, and shall have no liability to the Borrowers, any Lender or any other person or</w:t>
      </w:r>
    </w:p>
    <w:p>
      <w:pPr>
        <w:spacing w:after="0" w:line="3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65" w:name="page66"/>
    <w:bookmarkEnd w:id="65"/>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Limited Condition Acquisitions</w:t>
      </w:r>
      <w:r>
        <w:rPr>
          <w:rFonts w:ascii="Arial" w:cs="Arial" w:eastAsia="Arial" w:hAnsi="Arial"/>
          <w:sz w:val="18"/>
          <w:szCs w:val="18"/>
          <w:color w:val="auto"/>
        </w:rPr>
        <w:t xml:space="preserve">. In the event that Centuri notifies the Administrative Agent in writing that any proposed Acquisition is a Limited Condition Acquisition and that Centuri wishes to test the conditions to such Acquisition and any Incremental Term Loan or Incremental Equivalent Indebtedness that is to be used to finance such Acquisition in accordance with this </w:t>
      </w:r>
      <w:r>
        <w:rPr>
          <w:rFonts w:ascii="Arial" w:cs="Arial" w:eastAsia="Arial" w:hAnsi="Arial"/>
          <w:sz w:val="18"/>
          <w:szCs w:val="18"/>
          <w:u w:val="single" w:color="auto"/>
          <w:color w:val="auto"/>
        </w:rPr>
        <w:t>Section 1.12</w:t>
      </w:r>
      <w:r>
        <w:rPr>
          <w:rFonts w:ascii="Arial" w:cs="Arial" w:eastAsia="Arial" w:hAnsi="Arial"/>
          <w:sz w:val="18"/>
          <w:szCs w:val="18"/>
          <w:color w:val="auto"/>
        </w:rPr>
        <w:t>, then, so long as agreed to by the Administrative Agent and the lenders providing such Incremental Term Loan or such Incremental Equivalent Indebtedness, the following provisions shall apply:</w:t>
      </w:r>
    </w:p>
    <w:p>
      <w:pPr>
        <w:spacing w:after="0" w:line="188" w:lineRule="exact"/>
        <w:rPr>
          <w:sz w:val="20"/>
          <w:szCs w:val="20"/>
          <w:color w:val="auto"/>
        </w:rPr>
      </w:pPr>
    </w:p>
    <w:p>
      <w:pPr>
        <w:ind w:firstLine="436"/>
        <w:spacing w:after="0" w:line="291" w:lineRule="auto"/>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condition to such Limited Condition Acquisition, such Incremental Term Loan or such Incremental Equivalent Indebtedness that requires that no Default or Event of Default shall have occurred and be continuing at the time of such Limited Condition Acquisition or the incurrence of such Incremental Term Loan or Incremental Equivalent Indebtedness, shall be satisfied if (i) no Default or Event of Default shall have occurred and be continuing at the time of the execution of the definitive purchase agreement, merger agreement or other acquisition agreement governing such Limited Condition Acquisition (the “</w:t>
      </w:r>
      <w:r>
        <w:rPr>
          <w:rFonts w:ascii="Arial" w:cs="Arial" w:eastAsia="Arial" w:hAnsi="Arial"/>
          <w:sz w:val="16"/>
          <w:szCs w:val="16"/>
          <w:u w:val="single" w:color="auto"/>
          <w:color w:val="auto"/>
        </w:rPr>
        <w:t>LCA Test Date</w:t>
      </w:r>
      <w:r>
        <w:rPr>
          <w:rFonts w:ascii="Arial" w:cs="Arial" w:eastAsia="Arial" w:hAnsi="Arial"/>
          <w:sz w:val="16"/>
          <w:szCs w:val="16"/>
          <w:color w:val="auto"/>
        </w:rPr>
        <w:t xml:space="preserve">”) and (ii) no Event of Default under any of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10.1(j)</w:t>
      </w:r>
      <w:r>
        <w:rPr>
          <w:rFonts w:ascii="Arial" w:cs="Arial" w:eastAsia="Arial" w:hAnsi="Arial"/>
          <w:sz w:val="16"/>
          <w:szCs w:val="16"/>
          <w:color w:val="auto"/>
        </w:rPr>
        <w:t xml:space="preserve"> shall have occurred and be continuing both immediately before and immediately after giving effect to such Limited Condition Acquisition and any Indebtedness incurred in connection therewith (including any such additional Incremental Term Loan or Incremental Equivalent Indebtedness);</w:t>
      </w:r>
    </w:p>
    <w:p>
      <w:pPr>
        <w:spacing w:after="0" w:line="166" w:lineRule="exact"/>
        <w:rPr>
          <w:rFonts w:ascii="Arial" w:cs="Arial" w:eastAsia="Arial" w:hAnsi="Arial"/>
          <w:sz w:val="16"/>
          <w:szCs w:val="16"/>
          <w:color w:val="auto"/>
        </w:rPr>
      </w:pPr>
    </w:p>
    <w:p>
      <w:pPr>
        <w:ind w:firstLine="436"/>
        <w:spacing w:after="0" w:line="286" w:lineRule="auto"/>
        <w:tabs>
          <w:tab w:leader="none" w:pos="83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condition to such Limited Condition Acquisition, such Incremental Term Loan or such Incremental Equivalent Indebtedness that the representations and warranties in this Agreement and the other Loan Documents shall be true and correct at the time of consummation of such Limited Condition Acquisition or the incurrence of such Incremental Term Loan or Incremental Equivalent 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 (ii) as of the date of consummation of such Limited Condition Acquisition, (A) the representations and warranties under the relevant definitive agreement governing such Limited Condition Acquisition as are material to the lenders providing such Incremental Term Loan or Incremental Equivalent Indebtedness shall be true and correct, but only to the extent that Centuri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Incremental Term Loan or Incremental Equivalent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70" w:lineRule="exact"/>
        <w:rPr>
          <w:rFonts w:ascii="Arial" w:cs="Arial" w:eastAsia="Arial" w:hAnsi="Arial"/>
          <w:sz w:val="16"/>
          <w:szCs w:val="16"/>
          <w:color w:val="auto"/>
        </w:rPr>
      </w:pPr>
    </w:p>
    <w:p>
      <w:pPr>
        <w:ind w:right="180" w:firstLine="436"/>
        <w:spacing w:after="0" w:line="296" w:lineRule="auto"/>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financial ratio test or condition to be tested in connection with such Limited Condition Acquisition and the availability of such Incremental Term Loan or Incremental Equivalent Indebtedness will be tested as of the LCA Test Date, in each case, after giving effect to the relevant Limited Condition Acquisition and related incurrence of Incremental Term Loan or Incremental Equivalent Indebtedness,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6" w:name="page67"/>
    <w:bookmarkEnd w:id="66"/>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 Acquisition, as a result of fluctuations in such ratio or amount (including due to fluctuations in Consolidated EBITDA of Centuri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spacing w:after="0" w:line="187" w:lineRule="exact"/>
        <w:rPr>
          <w:sz w:val="20"/>
          <w:szCs w:val="20"/>
          <w:color w:val="auto"/>
        </w:rPr>
      </w:pPr>
    </w:p>
    <w:p>
      <w:pPr>
        <w:ind w:left="4" w:firstLine="436"/>
        <w:spacing w:after="0" w:line="284" w:lineRule="auto"/>
        <w:tabs>
          <w:tab w:leader="none" w:pos="834"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calculation of any such ratio or basket under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shall be calculated</w:t>
      </w:r>
    </w:p>
    <w:p>
      <w:pPr>
        <w:spacing w:after="0" w:line="4" w:lineRule="exact"/>
        <w:rPr>
          <w:rFonts w:ascii="Arial" w:cs="Arial" w:eastAsia="Arial" w:hAnsi="Arial"/>
          <w:sz w:val="16"/>
          <w:szCs w:val="16"/>
          <w:color w:val="auto"/>
        </w:rPr>
      </w:pPr>
    </w:p>
    <w:p>
      <w:pPr>
        <w:ind w:left="4" w:hanging="4"/>
        <w:spacing w:after="0" w:line="251" w:lineRule="auto"/>
        <w:tabs>
          <w:tab w:leader="none" w:pos="2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on a Pro Forma Basis assuming such Limited Condition Acquisition and other transactions in connection therewith (including the incurrence or assumption of the applicable Incremental Term Loan, Incremental Equivalent Indebtedness or any other applicable Indebtedness) have been consummated and (ii) assuming such Limited Condition Acquisition and other transactions in connection therewith (including the incurrence or assumption of the applicable Incremental Term Loan, Incremental Equivalent Indebtedness or any other applicable Indebtedness) have not been consummated. Notwithstanding the foregoing, any calculation of a ratio in connection with determining the Applicable Margin and determining whether or not the Borrower is in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shall, in each case be calculated assuming such Limited Condition Acquisition and other transactions in connection therewith (including the incurrence or assumption of the applicable Incremental Term Loan, Incremental Equivalent Indebtedness or any other applicable Indebtedness to be incurred or assumed in connection with such Acquisition) have not been consummated.</w:t>
      </w:r>
    </w:p>
    <w:p>
      <w:pPr>
        <w:spacing w:after="0" w:line="19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The foregoing provisions shall apply with similar effect during the pendency of multiple Limited Condition Acquisitions such that each of the possible scenarios is separately tested.</w:t>
      </w:r>
    </w:p>
    <w:p>
      <w:pPr>
        <w:spacing w:after="0" w:line="170"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REVOLVING CREDIT FACILITY</w:t>
      </w:r>
    </w:p>
    <w:p>
      <w:pPr>
        <w:spacing w:after="0" w:line="225"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Revolving Credit Loans</w:t>
      </w:r>
      <w:r>
        <w:rPr>
          <w:rFonts w:ascii="Arial" w:cs="Arial" w:eastAsia="Arial" w:hAnsi="Arial"/>
          <w:sz w:val="17"/>
          <w:szCs w:val="17"/>
          <w:color w:val="auto"/>
        </w:rPr>
        <w:t xml:space="preserve">. Subject to the terms and conditions of this Agreement and the other Loan Documents, and in reliance upon the representations and warranties set forth in this Agreement and the other Loan Documents, each Revolving Credit Lender severally agrees to make (a) US Revolving Credit Loans to the US Borrowers and (b) Canadian Revolving Credit Loans to the Canadian Borrowers, in each case, from time to time from the Closing Date through, but not including, the Revolving Credit Maturity Date as requested by a US Borrower or a Canadian Borrower, as applicable, in accordance with the terms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 on the Closing Date, the aggregate Revolving Credit Outstandings, excluding the aggregate undrawn and unexpired amount of the Existing Letters of</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67" w:name="page68"/>
    <w:bookmarkEnd w:id="67"/>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shall not exceed $125,000,000, (ii) after the Closing Date, (A) the Revolving Credit Outstandings shall not exceed the Revolving Credit Commitment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Borrowers may borrow, repay and reborrow Revolving Credit Loans hereunder until the Revolving Credit Maturity Date.</w:t>
      </w:r>
    </w:p>
    <w:p>
      <w:pPr>
        <w:spacing w:after="0" w:line="300"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117" w:lineRule="exact"/>
        <w:rPr>
          <w:sz w:val="20"/>
          <w:szCs w:val="20"/>
          <w:color w:val="auto"/>
        </w:rPr>
      </w:pPr>
    </w:p>
    <w:p>
      <w:pPr>
        <w:ind w:right="60" w:firstLine="436"/>
        <w:spacing w:after="0" w:line="273" w:lineRule="auto"/>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xml:space="preserve">. Subject to the terms and conditions of this Agreement and the other Loan Documents, and in reliance upon the representations and warranties set forth in this Agreement and the other Loan Documents, (a) the Swingline Lender shall make US Swingline Loans to the US Borrowers and (b) the Swingline Lender shall make Canadian Swingline Loans to the Canadian Borrowers, in each case, from time to time from the Closing Date through, but not including, the Revolving Credit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spacing w:after="0" w:line="285" w:lineRule="exact"/>
        <w:rPr>
          <w:rFonts w:ascii="Arial" w:cs="Arial" w:eastAsia="Arial" w:hAnsi="Arial"/>
          <w:sz w:val="17"/>
          <w:szCs w:val="17"/>
          <w:color w:val="auto"/>
        </w:rPr>
      </w:pPr>
    </w:p>
    <w:p>
      <w:pPr>
        <w:ind w:left="820" w:hanging="384"/>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Refunding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9" w:lineRule="auto"/>
        <w:tabs>
          <w:tab w:leader="none" w:pos="1213" w:val="left"/>
        </w:tabs>
        <w:numPr>
          <w:ilvl w:val="1"/>
          <w:numId w:val="51"/>
        </w:numPr>
        <w:rPr>
          <w:rFonts w:ascii="Arial" w:cs="Arial" w:eastAsia="Arial" w:hAnsi="Arial"/>
          <w:sz w:val="17"/>
          <w:szCs w:val="17"/>
          <w:color w:val="auto"/>
        </w:rPr>
      </w:pPr>
      <w:r>
        <w:rPr>
          <w:rFonts w:ascii="Arial" w:cs="Arial" w:eastAsia="Arial" w:hAnsi="Arial"/>
          <w:sz w:val="17"/>
          <w:szCs w:val="17"/>
          <w:color w:val="auto"/>
        </w:rPr>
        <w:t>Swingline Loans shall be refunded by the Revolving Credit Lenders on demand by the applicable Swingline Lender. Such refundings shall be made by the Revolving Credit Lenders in accordance with their respective Revolving Credit Commitment Percentages, in the applicable currency of the underlying Swingline Loan, and shall thereafter be reflected as Revolving Credit Loans of the Revolving Credit Lenders on the books and records of the Administrative Agent. Each Revolving Credit Lender shall fund its respective Revolving Credit Commitment Percentage of such Revolving Credit Loans as required to repay Swingline Loans outstanding to the applicable Swingline Lender upon demand by such Swingline Lender but in no event later than 1:00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77" w:lineRule="exact"/>
        <w:rPr>
          <w:rFonts w:ascii="Arial" w:cs="Arial" w:eastAsia="Arial" w:hAnsi="Arial"/>
          <w:sz w:val="17"/>
          <w:szCs w:val="17"/>
          <w:color w:val="auto"/>
        </w:rPr>
      </w:pPr>
    </w:p>
    <w:p>
      <w:pPr>
        <w:ind w:left="440" w:right="80" w:firstLine="419"/>
        <w:spacing w:after="0" w:line="269" w:lineRule="auto"/>
        <w:tabs>
          <w:tab w:leader="none" w:pos="1259"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applicable Borrower shall pay to the applicable Swingline Lender on demand and, in any event on the Revolving Credit Maturity Date, the amount of such Swingline Loans made to such Borrower to the extent amounts received from the Revolving Credit Lenders are not sufficient to repay in full the outstanding Swingline Loans requested or required to be refunded. If not demanded by such Swingline Lender, each Canadian Swingline Loan shall be repaid by the applicable Canadian Borrower on the date that is five (5) Business Days after such Canadian Swingline Loan is made. In addition, each Borrower hereby authorizes the Administrative Agent to charge any account maintained by such Borrower with the applicable Swingline Lender (up to the amount available therein) in order to immediately pay the applicable Swingline Lender the amount of such Swingline Loans made to such Borrower to the extent amounts received from the Revolving Credit Lenders are not sufficient to repay in full the outstanding Swingline Loans requested or required to be refunded. If any portion of any such amount paid to the applicable Swingline Lender shall be recovered by or on behalf of any Borrower from the applicable Swingline Lender in bankruptcy or otherwise, the loss of the amount so recovered shall be ratably shared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68" w:name="page69"/>
    <w:bookmarkEnd w:id="68"/>
    <w:p>
      <w:pPr>
        <w:ind w:left="44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among all the Revolving Credit Lenders in accordance with their respective Revolving Credit Commitment Percentages (unless the amounts so recovered by or on behalf of such Borrower pertain to a Swingline Loan extended after the occurrence and during the continuance of an Event of Default of which the Administrative Agent has received notice in the manner required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and which such Event of Default has not been waived by the Required Lenders or the Lenders, as applicable).</w:t>
      </w:r>
    </w:p>
    <w:p>
      <w:pPr>
        <w:spacing w:after="0" w:line="79" w:lineRule="exact"/>
        <w:rPr>
          <w:sz w:val="20"/>
          <w:szCs w:val="20"/>
          <w:color w:val="auto"/>
        </w:rPr>
      </w:pPr>
    </w:p>
    <w:p>
      <w:pPr>
        <w:ind w:left="444" w:firstLine="419"/>
        <w:spacing w:after="0" w:line="268" w:lineRule="auto"/>
        <w:tabs>
          <w:tab w:leader="none" w:pos="1317" w:val="left"/>
        </w:tabs>
        <w:numPr>
          <w:ilvl w:val="1"/>
          <w:numId w:val="52"/>
        </w:numPr>
        <w:rPr>
          <w:rFonts w:ascii="Arial" w:cs="Arial" w:eastAsia="Arial" w:hAnsi="Arial"/>
          <w:sz w:val="17"/>
          <w:szCs w:val="17"/>
          <w:color w:val="auto"/>
        </w:rPr>
      </w:pPr>
      <w:r>
        <w:rPr>
          <w:rFonts w:ascii="Arial" w:cs="Arial" w:eastAsia="Arial" w:hAnsi="Arial"/>
          <w:sz w:val="17"/>
          <w:szCs w:val="17"/>
          <w:color w:val="auto"/>
        </w:rPr>
        <w:t xml:space="preserve">Each Revolving Credit Lender acknowledges and agrees that its obligation to refund Swingline Loans in accordance with the terms of this Section is absolute and unconditional and shall not be affected by any circumstance whatsoever, including, without limitation, non-satisfaction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Further, each Revolving Credit Lender agrees and acknowledges that if prior to the refunding of any outstanding Swingline Loans pursuant to this Section, one of the events described in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shall have occurred, each Revolving Credit Lender will, on the date the applicable Revolving Credit Loan would have been made, purchase an undivided participating interest in the Swingline Loan to be refunded in an amount equal to its Revolving Credit Commitment Percentage of the aggregate amount of such Swingline Loan. Each Revolving Credit Lender will immediately transfer to the applicable Swingline Lender, in immediately available funds, the amount of its participation and upon receipt thereof such Swingline Lender will deliver to such Revolving Credit Lender a certificate evidencing such participation dated the date of receipt of such funds and for such amount. Whenever, at any time after the applicable Swingline Lender has received from any Revolving Credit Lender such Revolving Credit Lender’s participating interest in a Swingline Loan, the applicable Swingline Lender receives any payment on account thereof, the applicable Swingline Lender will distribute to such Revolving Credit Lender its participating interest in such amount (appropriately adjusted, in the case of interest payments, to reflect the period of time during which such Revolving Credit Lender’s participating interest was outstanding and funded).</w:t>
      </w:r>
    </w:p>
    <w:p>
      <w:pPr>
        <w:spacing w:after="0" w:line="186" w:lineRule="exact"/>
        <w:rPr>
          <w:rFonts w:ascii="Arial" w:cs="Arial" w:eastAsia="Arial" w:hAnsi="Arial"/>
          <w:sz w:val="17"/>
          <w:szCs w:val="17"/>
          <w:color w:val="auto"/>
        </w:rPr>
      </w:pPr>
    </w:p>
    <w:p>
      <w:pPr>
        <w:ind w:left="4" w:right="100" w:firstLine="436"/>
        <w:spacing w:after="0" w:line="277" w:lineRule="auto"/>
        <w:tabs>
          <w:tab w:leader="none" w:pos="82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40" w:firstLine="436"/>
        <w:spacing w:after="0" w:line="296" w:lineRule="auto"/>
        <w:tabs>
          <w:tab w:leader="none" w:pos="834"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Resignation of Swingline Lender</w:t>
      </w:r>
      <w:r>
        <w:rPr>
          <w:rFonts w:ascii="Arial" w:cs="Arial" w:eastAsia="Arial" w:hAnsi="Arial"/>
          <w:sz w:val="16"/>
          <w:szCs w:val="16"/>
          <w:color w:val="auto"/>
        </w:rPr>
        <w:t>. In connection with (i) any Refinancing Revolving Credit Commitments or (ii) any Extension of Revolving Credit Commitments, that has not been consented to by the applicable Swingline Lender, such Swingline Lender may, in connection with such Refinancing Revolving Credit Commitments or Extension resign as a Swingline Lender hereunder upon not less than five (5) Business Days’ prior notice to Centuri and the Administrative Agent (or such shorter period of time as may be acceptable to Centuri and the Administrative Agent). Following such notice of resignation, such Swingline Lender shall have no further obligations to make Swingline Loans pursuant to this Agreement.</w:t>
      </w:r>
    </w:p>
    <w:p>
      <w:pPr>
        <w:spacing w:after="0" w:line="269" w:lineRule="exact"/>
        <w:rPr>
          <w:sz w:val="20"/>
          <w:szCs w:val="20"/>
          <w:color w:val="auto"/>
        </w:rPr>
      </w:pPr>
    </w:p>
    <w:p>
      <w:pPr>
        <w:ind w:left="444"/>
        <w:spacing w:after="0"/>
        <w:tabs>
          <w:tab w:leader="none" w:pos="1624"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Procedure for Advances of Revolving Credit Loans and Swingline Loans</w:t>
      </w:r>
      <w:r>
        <w:rPr>
          <w:rFonts w:ascii="Arial" w:cs="Arial" w:eastAsia="Arial" w:hAnsi="Arial"/>
          <w:sz w:val="16"/>
          <w:szCs w:val="16"/>
          <w:color w:val="auto"/>
        </w:rPr>
        <w:t>.</w:t>
      </w:r>
    </w:p>
    <w:p>
      <w:pPr>
        <w:spacing w:after="0" w:line="117" w:lineRule="exact"/>
        <w:rPr>
          <w:sz w:val="20"/>
          <w:szCs w:val="20"/>
          <w:color w:val="auto"/>
        </w:rPr>
      </w:pPr>
    </w:p>
    <w:p>
      <w:pPr>
        <w:ind w:left="4" w:right="160" w:firstLine="436"/>
        <w:spacing w:after="0" w:line="287" w:lineRule="auto"/>
        <w:tabs>
          <w:tab w:leader="none" w:pos="824"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Requests for Borrowing</w:t>
      </w:r>
      <w:r>
        <w:rPr>
          <w:rFonts w:ascii="Arial" w:cs="Arial" w:eastAsia="Arial" w:hAnsi="Arial"/>
          <w:sz w:val="16"/>
          <w:szCs w:val="16"/>
          <w:color w:val="auto"/>
        </w:rPr>
        <w:t xml:space="preserve">. The applicable Borrower shall give the Administrative Agent irrevocable prior written notice substantially in the form of </w:t>
      </w:r>
      <w:r>
        <w:rPr>
          <w:rFonts w:ascii="Arial" w:cs="Arial" w:eastAsia="Arial" w:hAnsi="Arial"/>
          <w:sz w:val="16"/>
          <w:szCs w:val="16"/>
          <w:b w:val="1"/>
          <w:bCs w:val="1"/>
          <w:i w:val="1"/>
          <w:iCs w:val="1"/>
          <w:color w:val="auto"/>
        </w:rPr>
        <w:t>Exhibit B</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not later than 11:00 a.m. (i) on the same Business Day as each Base Rate Loan, each US Swingline Loan and each Canadian Swingline Loan, (ii) at least one (1) Business Day before each Canadian Base Rate Loan (other than Canadian Swingline Loans),</w:t>
      </w:r>
    </w:p>
    <w:p>
      <w:pPr>
        <w:spacing w:after="0" w:line="2" w:lineRule="exact"/>
        <w:rPr>
          <w:rFonts w:ascii="Arial" w:cs="Arial" w:eastAsia="Arial" w:hAnsi="Arial"/>
          <w:sz w:val="16"/>
          <w:szCs w:val="16"/>
          <w:color w:val="auto"/>
        </w:rPr>
      </w:pPr>
    </w:p>
    <w:p>
      <w:pPr>
        <w:ind w:left="4" w:right="520" w:hanging="4"/>
        <w:spacing w:after="0" w:line="281" w:lineRule="auto"/>
        <w:tabs>
          <w:tab w:leader="none" w:pos="31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least three (3) Business Days before each LIBOR Rate Loan and (iv) at least four (4) Business Days before each CDOR Rate Loan, of its intention to borrow, specifying (A) the date of such borrowing, which shall be a Business Day, (B) the amount of such borrowing, which shall be,</w:t>
      </w:r>
    </w:p>
    <w:p>
      <w:pPr>
        <w:spacing w:after="0" w:line="1" w:lineRule="exact"/>
        <w:rPr>
          <w:rFonts w:ascii="Arial" w:cs="Arial" w:eastAsia="Arial" w:hAnsi="Arial"/>
          <w:sz w:val="16"/>
          <w:szCs w:val="16"/>
          <w:color w:val="auto"/>
        </w:rPr>
      </w:pPr>
    </w:p>
    <w:p>
      <w:pPr>
        <w:ind w:left="4" w:right="20" w:hanging="4"/>
        <w:spacing w:after="0" w:line="255"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Base Rate Loans (other than Swingline Loans) and Canadian Revolving Credit Loans in an aggregate principal amount of $2,000,000 (or C$2,000,000) or a whole multiple of $500,000 (or C$500,000) in excess thereof, (y) with respect to LIBOR Rate Loans, in an aggregate principal amount of $2,000,000 or a whole multiple of $500,000 in excess thereof and (z) with respect to Swingline Loans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4" w:right="459" w:bottom="1440" w:gutter="0" w:footer="0" w:header="0"/>
        </w:sectPr>
      </w:pPr>
    </w:p>
    <w:bookmarkStart w:id="69" w:name="page70"/>
    <w:bookmarkEnd w:id="69"/>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 aggregate principal amount of $500,000 (or C$500,000) or a whole multiple of $100,000 (or C$100,000) in excess thereof, (C) whether such Loan is to be a US Revolving Credit Loan, Canadian Revolving Credit Loan, US Swingline Loan or Canadian Swingline Loan, (D) in the case of a US Revolving Credit Loan, whether the Loans are to be LIBOR Rate Loans or Base Rate Loans, (E) in the case of a Canadian Revolving Credit Loan, whether the Loans are to be CDOR Rate Loans or Canadian Base Rate Loans, and (F) in the case of a LIBOR Rate Loan or a CDOR Rate Loan, the duration of the Interest Period applicable thereto. A Notice of Borrowing received after 11:00 a.m. shall be deemed received on the next Business Day. The Administrative Agent shall promptly notify the Revolving Credit Lenders of each Notice of Borrowing.</w:t>
      </w:r>
    </w:p>
    <w:p>
      <w:pPr>
        <w:spacing w:after="0" w:line="178" w:lineRule="exact"/>
        <w:rPr>
          <w:sz w:val="20"/>
          <w:szCs w:val="20"/>
          <w:color w:val="auto"/>
        </w:rPr>
      </w:pPr>
    </w:p>
    <w:p>
      <w:pPr>
        <w:ind w:firstLine="436"/>
        <w:spacing w:after="0" w:line="285" w:lineRule="auto"/>
        <w:tabs>
          <w:tab w:leader="none" w:pos="83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Disbursement of Revolving Credit and Swingline Loans</w:t>
      </w:r>
      <w:r>
        <w:rPr>
          <w:rFonts w:ascii="Arial" w:cs="Arial" w:eastAsia="Arial" w:hAnsi="Arial"/>
          <w:sz w:val="16"/>
          <w:szCs w:val="16"/>
          <w:color w:val="auto"/>
        </w:rPr>
        <w:t xml:space="preserve">. Not later than (i) 1:00 p.m. on the proposed borrowing date, each Revolving Credit Lender will make available to the Administrative Agent, for the account of the US Borrowers, at the office of the Administrative Agent in funds immediately available to the Administrative Agent (in Dollars), such Revolving Credit Lender’s Revolving Credit Commitment Percentage of the US Revolving Credit Loans to be made on such borrowing date, (ii) 11:00 a.m. on the proposed borrowing date, each Revolving Credit Lender will make available to the Administrative Agent, for the account of the Canadian Borrowers, at the office of the Administrative Agent in funds immediately available to the Administrative Agent (in Canadian Dollars), such Revolving Credit Lender’s Revolving Credit Commitment Percentage of the Canadian Revolving Credit Loans to be made on such borrowing date and (iii) 1:00 p.m. on the proposed borrowing date, the applicable Swingline Lender will make available to the Administrative Agent, for the account of the applicable Borrower, at the office of the Administrative Agent in funds immediately available to the Administrative Agent (in the applicable currency), the Swingline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Arial" w:cs="Arial" w:eastAsia="Arial" w:hAnsi="Arial"/>
          <w:sz w:val="16"/>
          <w:szCs w:val="16"/>
          <w:b w:val="1"/>
          <w:bCs w:val="1"/>
          <w:i w:val="1"/>
          <w:iCs w:val="1"/>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Account Designation</w:t>
      </w:r>
      <w:r>
        <w:rPr>
          <w:rFonts w:ascii="Arial" w:cs="Arial" w:eastAsia="Arial" w:hAnsi="Arial"/>
          <w:sz w:val="16"/>
          <w:szCs w:val="16"/>
          <w:color w:val="auto"/>
        </w:rPr>
        <w:t xml:space="preserve">”) delivered by such Borrower to the Administrative Agent or as may be otherwise agreed upon by such Borrower and the Administrative Agent from time to time. Subject to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284"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Repayment and Prepayment of Revolving Credit and Swingline Loans</w:t>
      </w:r>
      <w:r>
        <w:rPr>
          <w:rFonts w:ascii="Arial" w:cs="Arial" w:eastAsia="Arial" w:hAnsi="Arial"/>
          <w:sz w:val="16"/>
          <w:szCs w:val="16"/>
          <w:color w:val="auto"/>
        </w:rPr>
        <w:t>.</w:t>
      </w:r>
    </w:p>
    <w:p>
      <w:pPr>
        <w:spacing w:after="0" w:line="117" w:lineRule="exact"/>
        <w:rPr>
          <w:sz w:val="20"/>
          <w:szCs w:val="20"/>
          <w:color w:val="auto"/>
        </w:rPr>
      </w:pPr>
    </w:p>
    <w:p>
      <w:pPr>
        <w:ind w:right="140" w:firstLine="436"/>
        <w:spacing w:after="0" w:line="311" w:lineRule="auto"/>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Repayment on Termination Date</w:t>
      </w:r>
      <w:r>
        <w:rPr>
          <w:rFonts w:ascii="Arial" w:cs="Arial" w:eastAsia="Arial" w:hAnsi="Arial"/>
          <w:sz w:val="16"/>
          <w:szCs w:val="16"/>
          <w:color w:val="auto"/>
        </w:rPr>
        <w:t xml:space="preserve">. Each Borrower hereby agrees to repay the outstanding principal amount of (i) all Revolving Credit Loans made to such Borrower in full on the Revolving Credit Maturity Date, and (ii) all Swingline Loans made to such Borrower in accordance with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(but, in any event, no later than the Revolving Credit Maturity Date), together, in each case, with all accrued but unpaid interest thereon.</w:t>
      </w:r>
    </w:p>
    <w:p>
      <w:pPr>
        <w:spacing w:after="0" w:line="256" w:lineRule="exact"/>
        <w:rPr>
          <w:rFonts w:ascii="Arial" w:cs="Arial" w:eastAsia="Arial" w:hAnsi="Arial"/>
          <w:sz w:val="16"/>
          <w:szCs w:val="16"/>
          <w:color w:val="auto"/>
        </w:rPr>
      </w:pPr>
    </w:p>
    <w:p>
      <w:pPr>
        <w:ind w:left="820" w:hanging="384"/>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75" w:lineRule="auto"/>
        <w:tabs>
          <w:tab w:leader="none" w:pos="1213"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If at any time the Revolving Credit Outstandings exceed the Revolving Credit Commitment (as a result of currency fluctuations or otherwise), each applicable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principal amount of outstanding US Swingline Loans,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principal amount of outstanding Canadian Swingline Loans,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principal amount of outstanding US Revolving Credit Loans, </w:t>
      </w:r>
      <w:r>
        <w:rPr>
          <w:rFonts w:ascii="Arial" w:cs="Arial" w:eastAsia="Arial" w:hAnsi="Arial"/>
          <w:sz w:val="17"/>
          <w:szCs w:val="17"/>
          <w:u w:val="single" w:color="auto"/>
          <w:color w:val="auto"/>
        </w:rPr>
        <w:t>fourth</w:t>
      </w:r>
      <w:r>
        <w:rPr>
          <w:rFonts w:ascii="Arial" w:cs="Arial" w:eastAsia="Arial" w:hAnsi="Arial"/>
          <w:sz w:val="17"/>
          <w:szCs w:val="17"/>
          <w:color w:val="auto"/>
        </w:rPr>
        <w:t>, to the principal amount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70" w:name="page71"/>
    <w:bookmarkEnd w:id="70"/>
    <w:p>
      <w:pPr>
        <w:jc w:val="both"/>
        <w:ind w:left="420" w:right="2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outstanding Canadian Revolving Credit Loans and </w:t>
      </w:r>
      <w:r>
        <w:rPr>
          <w:rFonts w:ascii="Arial" w:cs="Arial" w:eastAsia="Arial" w:hAnsi="Arial"/>
          <w:sz w:val="16"/>
          <w:szCs w:val="16"/>
          <w:u w:val="single" w:color="auto"/>
          <w:color w:val="auto"/>
        </w:rPr>
        <w:t>fifth</w:t>
      </w:r>
      <w:r>
        <w:rPr>
          <w:rFonts w:ascii="Arial" w:cs="Arial" w:eastAsia="Arial" w:hAnsi="Arial"/>
          <w:sz w:val="16"/>
          <w:szCs w:val="16"/>
          <w:color w:val="auto"/>
        </w:rPr>
        <w:t>, with respect to any Letters of Credit then outstanding, a payment of Cash Collateral into a Cash Collateral account opened by the Administrative Agent, for the benefit of the Revolving Credit Lenders, in an amount equal to such excess (such Cash Collateral to be applied, upon the occurrence and during the continuance of an Event of Default, in accordance with</w:t>
      </w:r>
    </w:p>
    <w:p>
      <w:pPr>
        <w:spacing w:after="0" w:line="2" w:lineRule="exact"/>
        <w:rPr>
          <w:sz w:val="20"/>
          <w:szCs w:val="20"/>
          <w:color w:val="auto"/>
        </w:rPr>
      </w:pPr>
    </w:p>
    <w:p>
      <w:pPr>
        <w:ind w:left="420" w:right="20"/>
        <w:spacing w:after="0" w:line="255" w:lineRule="auto"/>
        <w:rPr>
          <w:sz w:val="20"/>
          <w:szCs w:val="20"/>
          <w:color w:val="auto"/>
        </w:rPr>
      </w:pP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US Borrower is required to make a payment of Cash Collateral pursuant to the terms of this </w:t>
      </w:r>
      <w:r>
        <w:rPr>
          <w:rFonts w:ascii="Arial" w:cs="Arial" w:eastAsia="Arial" w:hAnsi="Arial"/>
          <w:sz w:val="18"/>
          <w:szCs w:val="18"/>
          <w:u w:val="single" w:color="auto"/>
          <w:color w:val="auto"/>
        </w:rPr>
        <w:t>Section 2.4(b)(i)</w:t>
      </w:r>
      <w:r>
        <w:rPr>
          <w:rFonts w:ascii="Arial" w:cs="Arial" w:eastAsia="Arial" w:hAnsi="Arial"/>
          <w:sz w:val="18"/>
          <w:szCs w:val="18"/>
          <w:color w:val="auto"/>
        </w:rPr>
        <w:t xml:space="preserve"> as a result of any such excess, such amount (to the extent not applied in accordance with </w:t>
      </w:r>
      <w:r>
        <w:rPr>
          <w:rFonts w:ascii="Arial" w:cs="Arial" w:eastAsia="Arial" w:hAnsi="Arial"/>
          <w:sz w:val="18"/>
          <w:szCs w:val="18"/>
          <w:u w:val="single" w:color="auto"/>
          <w:color w:val="auto"/>
        </w:rPr>
        <w:t>Section 10.2(b)</w:t>
      </w:r>
      <w:r>
        <w:rPr>
          <w:rFonts w:ascii="Arial" w:cs="Arial" w:eastAsia="Arial" w:hAnsi="Arial"/>
          <w:sz w:val="18"/>
          <w:szCs w:val="18"/>
          <w:color w:val="auto"/>
        </w:rPr>
        <w:t>) shall be returned to such US Borrower within three Business Days after such excess ceases to exist.</w:t>
      </w:r>
    </w:p>
    <w:p>
      <w:pPr>
        <w:spacing w:after="0" w:line="82" w:lineRule="exact"/>
        <w:rPr>
          <w:sz w:val="20"/>
          <w:szCs w:val="20"/>
          <w:color w:val="auto"/>
        </w:rPr>
      </w:pPr>
    </w:p>
    <w:p>
      <w:pPr>
        <w:ind w:left="1240" w:hanging="401"/>
        <w:spacing w:after="0"/>
        <w:tabs>
          <w:tab w:leader="none" w:pos="12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420" w:right="80" w:firstLine="419"/>
        <w:spacing w:after="0" w:line="259" w:lineRule="auto"/>
        <w:tabs>
          <w:tab w:leader="none" w:pos="1293"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at any time Swingline Loans outstanding at such time exceed the Swingline Commitment (as a result of currency fluctuations or otherwise), the applicable Borrower or Borrowers agree to repay within one (1) Business Day following receipt of notice from the Administrative Agent, by payment to the Administrative Agent for the account of the applicable Swingline Lender, Swingline Loans in an amount equal to such excess with each such repayment applied ratably to the outstanding Swingline Loans.</w:t>
      </w:r>
    </w:p>
    <w:p>
      <w:pPr>
        <w:spacing w:after="0" w:line="78" w:lineRule="exact"/>
        <w:rPr>
          <w:rFonts w:ascii="Arial" w:cs="Arial" w:eastAsia="Arial" w:hAnsi="Arial"/>
          <w:sz w:val="18"/>
          <w:szCs w:val="18"/>
          <w:color w:val="auto"/>
        </w:rPr>
      </w:pPr>
    </w:p>
    <w:p>
      <w:pPr>
        <w:ind w:left="420" w:firstLine="419"/>
        <w:spacing w:after="0" w:line="296" w:lineRule="auto"/>
        <w:tabs>
          <w:tab w:leader="none" w:pos="1283"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If at any time Letters of Credit outstanding at such time exceed the L/C Sublimit (as a result of currency fluctuations or otherwise), the applicable Borrower or Borrowers agree to Cash Collateralize the amount of such excess (such Cash Collateral to be applied, upon the occurrence and during the continuance of an Event of Default, in accordance with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Borrower is required to make a payment of Cash Collateral pursuant to the terms of this </w:t>
      </w:r>
      <w:r>
        <w:rPr>
          <w:rFonts w:ascii="Arial" w:cs="Arial" w:eastAsia="Arial" w:hAnsi="Arial"/>
          <w:sz w:val="16"/>
          <w:szCs w:val="16"/>
          <w:u w:val="single" w:color="auto"/>
          <w:color w:val="auto"/>
        </w:rPr>
        <w:t>Section 2.4(b)(iv)</w:t>
      </w:r>
      <w:r>
        <w:rPr>
          <w:rFonts w:ascii="Arial" w:cs="Arial" w:eastAsia="Arial" w:hAnsi="Arial"/>
          <w:sz w:val="16"/>
          <w:szCs w:val="16"/>
          <w:color w:val="auto"/>
        </w:rPr>
        <w:t xml:space="preserve"> as a result of any such excess, such amount (to the extent not applied in accordance with </w:t>
      </w:r>
      <w:r>
        <w:rPr>
          <w:rFonts w:ascii="Arial" w:cs="Arial" w:eastAsia="Arial" w:hAnsi="Arial"/>
          <w:sz w:val="16"/>
          <w:szCs w:val="16"/>
          <w:u w:val="single" w:color="auto"/>
          <w:color w:val="auto"/>
        </w:rPr>
        <w:t>Section 10.2(b)</w:t>
      </w:r>
      <w:r>
        <w:rPr>
          <w:rFonts w:ascii="Arial" w:cs="Arial" w:eastAsia="Arial" w:hAnsi="Arial"/>
          <w:sz w:val="16"/>
          <w:szCs w:val="16"/>
          <w:color w:val="auto"/>
        </w:rPr>
        <w:t>) shall be returned to such Borrower within three Business Days after such excess ceases to exist.</w:t>
      </w:r>
    </w:p>
    <w:p>
      <w:pPr>
        <w:spacing w:after="0" w:line="161" w:lineRule="exact"/>
        <w:rPr>
          <w:rFonts w:ascii="Arial" w:cs="Arial" w:eastAsia="Arial" w:hAnsi="Arial"/>
          <w:sz w:val="16"/>
          <w:szCs w:val="16"/>
          <w:color w:val="auto"/>
        </w:rPr>
      </w:pPr>
    </w:p>
    <w:p>
      <w:pPr>
        <w:ind w:left="-20" w:firstLine="436"/>
        <w:spacing w:after="0" w:line="285" w:lineRule="auto"/>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Borrowers may at any time and from time to time prepay Revolving Credit Loans and Swingline Loans, in whole or in part, without premium or penalty, with irrevocable prior written notice to the Administrative Agent substantially in the form attached as </w:t>
      </w:r>
      <w:r>
        <w:rPr>
          <w:rFonts w:ascii="Arial" w:cs="Arial" w:eastAsia="Arial" w:hAnsi="Arial"/>
          <w:sz w:val="16"/>
          <w:szCs w:val="16"/>
          <w:b w:val="1"/>
          <w:bCs w:val="1"/>
          <w:i w:val="1"/>
          <w:iCs w:val="1"/>
          <w:color w:val="auto"/>
        </w:rPr>
        <w:t>Exhibit D</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given not later than 11:00 a.m. (i) on the same Business Day as each Base Rate Loan, each Canadian Swingline Loan and each US Swingline Loan, (ii) at least one (1) Business Day before each Canadian Base Rate Loan, (iii) at least three (3) Business Days before each LIBOR Rate Loan and (iv) at least four (4) Business Days before each CDOR Rate Loan, specifying the date and amount of prepayment and whether the prepayment is of LIBOR Rate Loans, Base Rate Loans, Canadian Base Rate Loans, CDOR Rate Loans, US Swingline Loans, Canadian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C$1,000,000) or a whole multiple of $500,000 (or C$500,000) in excess thereof with respect to Base Rate Loans (other than Swingline Loans) and Canadian Revolving Credit Loans, $2,000,000 or a whole multiple of $500,000 in excess thereof with respect to LIBOR Rate Loans and $100,000 (or C$100,000) or a whole multiple of $100,000 (or C$100,000) in excess thereof with respect to Swingline Loans. A Notice of Prepayment received after 11:00 a.m. shall be deemed received on the next Business Day. Each such repayment shall be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hereof. Notwithstanding the foregoing, any Notice of Prepayment delivered in connection with any refinancing of all of the Credit Facility with the proceeds of such refinancing or of any incurrence of Indebtedness, may be, if expressly so stated to be, contingent upon the consummation of such refinancing or incurrence and may be revoked by the Borrowers in the event such refinancing is not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such contingency shall not relieve any Borrower from its obligations in respect thereof under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60" w:top="274" w:right="459" w:bottom="1440" w:gutter="0" w:footer="0" w:header="0"/>
        </w:sectPr>
      </w:pPr>
    </w:p>
    <w:bookmarkStart w:id="71" w:name="page72"/>
    <w:bookmarkEnd w:id="71"/>
    <w:p>
      <w:pPr>
        <w:ind w:right="20" w:firstLine="436"/>
        <w:spacing w:after="0" w:line="259" w:lineRule="auto"/>
        <w:tabs>
          <w:tab w:leader="none" w:pos="83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 of Excess Proceeds</w:t>
      </w:r>
      <w:r>
        <w:rPr>
          <w:rFonts w:ascii="Arial" w:cs="Arial" w:eastAsia="Arial" w:hAnsi="Arial"/>
          <w:sz w:val="18"/>
          <w:szCs w:val="18"/>
          <w:color w:val="auto"/>
        </w:rPr>
        <w:t xml:space="preserve">. In the event proceeds remain after the prepayments of Term Loan Facility pursuant to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the amount of such excess proceeds shall be used on the date of the required prepayment under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to prepay the outstanding principal amount of the Revolving Credit Loans, without a corresponding reduction of the Revolving Credit Commitment, with remaining proceeds, if any, refunded to the Borrowers.</w:t>
      </w:r>
    </w:p>
    <w:p>
      <w:pPr>
        <w:spacing w:after="0" w:line="186" w:lineRule="exact"/>
        <w:rPr>
          <w:rFonts w:ascii="Arial" w:cs="Arial" w:eastAsia="Arial" w:hAnsi="Arial"/>
          <w:sz w:val="18"/>
          <w:szCs w:val="18"/>
          <w:color w:val="auto"/>
        </w:rPr>
      </w:pPr>
    </w:p>
    <w:p>
      <w:pPr>
        <w:ind w:right="140" w:firstLine="436"/>
        <w:spacing w:after="0" w:line="342" w:lineRule="auto"/>
        <w:tabs>
          <w:tab w:leader="none" w:pos="82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Limitation on Prepayment of LIBOR Rate Loans</w:t>
      </w:r>
      <w:r>
        <w:rPr>
          <w:rFonts w:ascii="Arial" w:cs="Arial" w:eastAsia="Arial" w:hAnsi="Arial"/>
          <w:sz w:val="16"/>
          <w:szCs w:val="16"/>
          <w:color w:val="auto"/>
        </w:rPr>
        <w:t xml:space="preserve">. The Borrowers may not prepay any LIBOR Rate Loan on any day other than on the last day of the Interest Period applicable thereto unless such prepayment is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hereof.</w:t>
      </w:r>
    </w:p>
    <w:p>
      <w:pPr>
        <w:spacing w:after="0" w:line="123" w:lineRule="exact"/>
        <w:rPr>
          <w:rFonts w:ascii="Arial" w:cs="Arial" w:eastAsia="Arial" w:hAnsi="Arial"/>
          <w:sz w:val="16"/>
          <w:szCs w:val="16"/>
          <w:color w:val="auto"/>
        </w:rPr>
      </w:pPr>
    </w:p>
    <w:p>
      <w:pPr>
        <w:ind w:right="140" w:firstLine="436"/>
        <w:spacing w:after="0" w:line="27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 No repayment or prepayment of the Loans pursuant to this Section shall affect any of the Borrowers’ obligations under any Hedge Agreement entered into with respect to the Loans.</w:t>
      </w:r>
    </w:p>
    <w:p>
      <w:pPr>
        <w:spacing w:after="0" w:line="278"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Permanent Reduction of the Revolving Credit Commitment</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87" w:lineRule="auto"/>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Voluntary Reduction</w:t>
      </w:r>
      <w:r>
        <w:rPr>
          <w:rFonts w:ascii="Arial" w:cs="Arial" w:eastAsia="Arial" w:hAnsi="Arial"/>
          <w:sz w:val="16"/>
          <w:szCs w:val="16"/>
          <w:color w:val="auto"/>
        </w:rPr>
        <w:t>. The Borrowers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$3,000,000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 such reduction in the Revolving Credit Commitments shall reduce the Swingline Commitment or the L/C Sublimit (except as set forth in each respective definition). Notwithstanding the foregoing, any notice to reduce the Revolving Credit Commitment to zero delivered in connection with any refinancing of all of the Credit Facility with the proceeds of such refinancing or of any incurrence of Indebtedness, may be, if expressly so stated to be, contingent upon the consummation of such refinancing or incurrence and may be revoked by any Borrower in the event such refinancing is not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such contingency shall not relieve any Borrower from its obligations in respect thereof under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firstLine="436"/>
        <w:spacing w:after="0" w:line="289" w:lineRule="auto"/>
        <w:tabs>
          <w:tab w:leader="none" w:pos="83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Corresponding Payment</w:t>
      </w:r>
      <w:r>
        <w:rPr>
          <w:rFonts w:ascii="Arial" w:cs="Arial" w:eastAsia="Arial" w:hAnsi="Arial"/>
          <w:sz w:val="16"/>
          <w:szCs w:val="16"/>
          <w:color w:val="auto"/>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applicable Borrower shall be required to deposit Cash Collateral in a Cash Collateral account opened by the Administrative Agent in an amount equal to such excess. Such Cash Collateral shall be applied in accordance with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 and the Swingline Commitment and the Revolving Credit Facility. If the reduction of the Revolving Credit Commitment requires the repayment of any LIBOR Rate Loan, such repayment shall be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hereof.</w:t>
      </w:r>
    </w:p>
    <w:p>
      <w:pPr>
        <w:spacing w:after="0" w:line="16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Termination of Revolving Credit Facility</w:t>
      </w:r>
      <w:r>
        <w:rPr>
          <w:rFonts w:ascii="Arial" w:cs="Arial" w:eastAsia="Arial" w:hAnsi="Arial"/>
          <w:sz w:val="18"/>
          <w:szCs w:val="18"/>
          <w:color w:val="auto"/>
        </w:rPr>
        <w:t>. The Revolving Credit Facility and the Revolving Credit Commitments shall terminate on the Revolving Credit Maturity Date (after giving effect to any Extension).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4" w:right="479" w:bottom="1440" w:gutter="0" w:footer="0" w:header="0"/>
        </w:sectPr>
      </w:pPr>
    </w:p>
    <w:bookmarkStart w:id="72" w:name="page73"/>
    <w:bookmarkEnd w:id="72"/>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LETTER OF CREDIT FACILITY</w:t>
      </w:r>
    </w:p>
    <w:p>
      <w:pPr>
        <w:spacing w:after="0" w:line="225" w:lineRule="exact"/>
        <w:rPr>
          <w:sz w:val="20"/>
          <w:szCs w:val="20"/>
          <w:color w:val="auto"/>
        </w:rPr>
      </w:pPr>
    </w:p>
    <w:p>
      <w:pPr>
        <w:ind w:left="444"/>
        <w:spacing w:after="0"/>
        <w:tabs>
          <w:tab w:leader="none" w:pos="1624"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u w:val="single" w:color="auto"/>
          <w:color w:val="auto"/>
        </w:rPr>
        <w:t>L/C Facility</w:t>
      </w:r>
      <w:r>
        <w:rPr>
          <w:rFonts w:ascii="Arial" w:cs="Arial" w:eastAsia="Arial" w:hAnsi="Arial"/>
          <w:sz w:val="17"/>
          <w:szCs w:val="17"/>
          <w:color w:val="auto"/>
        </w:rPr>
        <w:t>.</w:t>
      </w:r>
    </w:p>
    <w:p>
      <w:pPr>
        <w:spacing w:after="0" w:line="117" w:lineRule="exact"/>
        <w:rPr>
          <w:sz w:val="20"/>
          <w:szCs w:val="20"/>
          <w:color w:val="auto"/>
        </w:rPr>
      </w:pPr>
    </w:p>
    <w:p>
      <w:pPr>
        <w:ind w:left="4" w:right="20" w:firstLine="436"/>
        <w:spacing w:after="0" w:line="283" w:lineRule="auto"/>
        <w:tabs>
          <w:tab w:leader="none" w:pos="824"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xml:space="preserve">. Subject to the terms and conditions hereof, each applicable Issuing Lender, in reliance on the agreements of the Revolving Credit Lenders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agrees to issue (i) standby or commercial US Letters of Credit in an aggregate amount not to exceed its L/C Commitment for the account of the US Borrowers or, subject to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any US Subsidiary or Affiliate thereof that is organized under the laws of the United States, any State thereof or the District of Columbia and (ii) standby or commercial Canadian Letters of Credit in an aggregate amount not to exceed its L/C Commitment for the account of the Canadian Borrowers or, subject to </w:t>
      </w:r>
      <w:r>
        <w:rPr>
          <w:rFonts w:ascii="Arial" w:cs="Arial" w:eastAsia="Arial" w:hAnsi="Arial"/>
          <w:sz w:val="16"/>
          <w:szCs w:val="16"/>
          <w:u w:val="single" w:color="auto"/>
          <w:color w:val="auto"/>
        </w:rPr>
        <w:t>Section 3.10</w:t>
      </w:r>
      <w:r>
        <w:rPr>
          <w:rFonts w:ascii="Arial" w:cs="Arial" w:eastAsia="Arial" w:hAnsi="Arial"/>
          <w:sz w:val="16"/>
          <w:szCs w:val="16"/>
          <w:color w:val="auto"/>
        </w:rPr>
        <w:t>, any Canadian Subsidiary or Affiliate thereof that is organized under the laws of Canada or any province or territory thereof, in each case, on any Business Day from the Closing Date through but not including the thirtieth (30</w:t>
      </w:r>
      <w:r>
        <w:rPr>
          <w:rFonts w:ascii="Arial" w:cs="Arial" w:eastAsia="Arial" w:hAnsi="Arial"/>
          <w:sz w:val="13"/>
          <w:szCs w:val="13"/>
          <w:color w:val="auto"/>
        </w:rPr>
        <w:t>th</w:t>
      </w:r>
      <w:r>
        <w:rPr>
          <w:rFonts w:ascii="Arial" w:cs="Arial" w:eastAsia="Arial" w:hAnsi="Arial"/>
          <w:sz w:val="16"/>
          <w:szCs w:val="16"/>
          <w:color w:val="auto"/>
        </w:rPr>
        <w:t xml:space="preserve">) Business Day prior to the Revolving Credit Maturity Date in such form as may be approved from time to time by the applicable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Issuing Lender shall issue any Letter of Credit if, after giving effect to such issuance, (A) the L/C Obligations would exceed the L/C Sublimit, (B) the Revolving Credit Outstandings would exceed the Revolving Credit Commitment or (C) the L/C Obligations with respect to Letters of Credit issued by such Issuing Lender would exceed such Issuing Lender’s L/C Commitment. Each Letter of Credit</w:t>
      </w:r>
    </w:p>
    <w:p>
      <w:pPr>
        <w:spacing w:after="0" w:line="4" w:lineRule="exact"/>
        <w:rPr>
          <w:rFonts w:ascii="Arial" w:cs="Arial" w:eastAsia="Arial" w:hAnsi="Arial"/>
          <w:sz w:val="16"/>
          <w:szCs w:val="16"/>
          <w:color w:val="auto"/>
        </w:rPr>
      </w:pPr>
    </w:p>
    <w:p>
      <w:pPr>
        <w:ind w:left="4" w:hanging="4"/>
        <w:spacing w:after="0" w:line="283" w:lineRule="auto"/>
        <w:tabs>
          <w:tab w:leader="none" w:pos="259" w:val="left"/>
        </w:tabs>
        <w:numPr>
          <w:ilvl w:val="0"/>
          <w:numId w:val="64"/>
        </w:numPr>
        <w:rPr>
          <w:rFonts w:ascii="Arial" w:cs="Arial" w:eastAsia="Arial" w:hAnsi="Arial"/>
          <w:sz w:val="16"/>
          <w:szCs w:val="16"/>
          <w:color w:val="auto"/>
        </w:rPr>
      </w:pPr>
      <w:r>
        <w:rPr>
          <w:rFonts w:ascii="Arial" w:cs="Arial" w:eastAsia="Arial" w:hAnsi="Arial"/>
          <w:sz w:val="16"/>
          <w:szCs w:val="16"/>
          <w:color w:val="auto"/>
        </w:rPr>
        <w:t>(x) to be denominated in Dollars shall, in the case of a commercial US Letter of Credit, be in a minimum amount of $100,000 and, in the case of a standby US Letter of Credit, be in a minimum amount of $100,000 (or such lesser amounts as agreed to by the applicable Issuing Lender and the Administrative Agent), and (y) to be denominated in Canadian Dollars shall, in the case of a commercial Canadian Letter of Credit, be in a minimum amount of C$100,000 and, in the case of a standby Canadian Letter of Credit, be in a minimum amount of C$100,000 (or such lesser amounts as agreed to by the applicable Issuing Lender and the Administrative Agent), (2) except as agreed to by the Administrative Agent and the applicable Issuing Lender with respect to any Existing Letter of Credit, shall expire on a date no more than twelve (12) months after the date of issuance or last renewal of such Letter of Credit (subject to automatic renewal for additional one (1) year periods pursuant to the terms of the Letter of Credit Application or other documentation acceptable to the applicable Issuing Lender), (3) shall expire no later than the fifth (5th) Business Day prior to the Revolving Credit Maturity Date (except that if agreed to by the applicable Issuing Lender and the Administrative Agent, any Existing Letter of Credit may expire after such date so long as such Existing Letter of Credit is Cash Collateralized pursuant to documentation and on terms and conditions acceptable to such Issuing Lender and the Administrative Agent no later than the date that is 91 days prior to the Revolving Credit Maturity Date), (4) with respect to each US Letter of Credit, shall be subject to the Uniform Customs, in the case of a commercial Letter of Credit, or ISP98, in the case of a standby Letter of Credit, in each case, as set forth in the Letter of Credit Application or as determined by the applicable Issuing Lender and, to the extent not inconsistent therewith, the laws of the State of New York and (5) with respect to each Canadian Letter of Credit, shall be subject to the law set forth in the Letter of Credit Application or as agreed by the applicable Issuing Lender and the Canadian Borrowers.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as of the Closing Date and that such Issuing Lender in good faith deems material to it,</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73" w:name="page74"/>
    <w:bookmarkEnd w:id="73"/>
    <w:p>
      <w:pPr>
        <w:ind w:left="4" w:right="120" w:hanging="4"/>
        <w:spacing w:after="0" w:line="259" w:lineRule="auto"/>
        <w:tabs>
          <w:tab w:leader="none" w:pos="289"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not satisfied or (C)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186" w:lineRule="exact"/>
        <w:rPr>
          <w:rFonts w:ascii="Arial" w:cs="Arial" w:eastAsia="Arial" w:hAnsi="Arial"/>
          <w:sz w:val="18"/>
          <w:szCs w:val="18"/>
          <w:color w:val="auto"/>
        </w:rPr>
      </w:pPr>
    </w:p>
    <w:p>
      <w:pPr>
        <w:ind w:left="4" w:right="440" w:firstLine="436"/>
        <w:spacing w:after="0" w:line="277" w:lineRule="auto"/>
        <w:tabs>
          <w:tab w:leader="none" w:pos="83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anything to the contrary contained in this Agreement,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subject to the terms and conditions of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170"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xml:space="preserve">. The (a) US Borrowers may from time to time request that any Issuing Lender issue a US Letter of Credit and (b) Canadian Borrowers may from time to time request that any Issuing Lender issue a Canadian Letter of Credit, in each case,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papers and information as such Issuing Lender or the Administrative Agent may request. Upon receipt of any Letter of Credit Application, the applicable Issuing Lender shall process such Letter of Credit Application and the certificates, documents and other papers and information delivered to it in connection therewith in accordance with its customary procedures and shall,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w:t>
      </w:r>
      <w:r>
        <w:rPr>
          <w:rFonts w:ascii="Arial" w:cs="Arial" w:eastAsia="Arial" w:hAnsi="Arial"/>
          <w:sz w:val="16"/>
          <w:szCs w:val="16"/>
          <w:color w:val="auto"/>
        </w:rPr>
        <w:t>, promptly issue the Letter of Credit requested thereby (but in no event shall such Issuing Lender be required to issue any Letter of Credit earlier than three (3) Business Days after its receipt of the Letter of Credit Application therefor and all such other certificates, documents and other papers and information relating thereto) by issuing the original of such Letter of Credit to the beneficiary thereof or as otherwise may be agreed by such Issuing Lender and the applicable Borrower. The applicable Issuing Lender shall promptly furnish to the applicable Borrowers and the Administrative Agent a copy of such Letter of Credit and the Administrative Agent shall promptly notify each Revolving Credit Lender of the issuance and upon request by any Lender, furnish to such Revolving Credit Lender a copy of such Letter of Credit and the amount of such Revolving Credit Lender’s participation therein.</w:t>
      </w:r>
    </w:p>
    <w:p>
      <w:pPr>
        <w:spacing w:after="0" w:line="282" w:lineRule="exact"/>
        <w:rPr>
          <w:sz w:val="20"/>
          <w:szCs w:val="20"/>
          <w:color w:val="auto"/>
        </w:rPr>
      </w:pPr>
    </w:p>
    <w:p>
      <w:pPr>
        <w:ind w:left="444"/>
        <w:spacing w:after="0"/>
        <w:tabs>
          <w:tab w:leader="none" w:pos="1624"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Commissions and Other Charges</w:t>
      </w:r>
      <w:r>
        <w:rPr>
          <w:rFonts w:ascii="Arial" w:cs="Arial" w:eastAsia="Arial" w:hAnsi="Arial"/>
          <w:sz w:val="16"/>
          <w:szCs w:val="16"/>
          <w:color w:val="auto"/>
        </w:rPr>
        <w:t>.</w:t>
      </w:r>
    </w:p>
    <w:p>
      <w:pPr>
        <w:spacing w:after="0" w:line="117" w:lineRule="exact"/>
        <w:rPr>
          <w:sz w:val="20"/>
          <w:szCs w:val="20"/>
          <w:color w:val="auto"/>
        </w:rPr>
      </w:pPr>
    </w:p>
    <w:p>
      <w:pPr>
        <w:ind w:left="4" w:right="60" w:firstLine="436"/>
        <w:spacing w:after="0" w:line="272" w:lineRule="auto"/>
        <w:tabs>
          <w:tab w:leader="none" w:pos="82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Letter of Credit Commissions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5.15(a)(iii)(B)</w:t>
      </w:r>
      <w:r>
        <w:rPr>
          <w:rFonts w:ascii="Arial" w:cs="Arial" w:eastAsia="Arial" w:hAnsi="Arial"/>
          <w:sz w:val="17"/>
          <w:szCs w:val="17"/>
          <w:color w:val="auto"/>
        </w:rPr>
        <w:t xml:space="preserve">, Centuri shall pay to the Administrative Agent, for the account of the applicable Issuing Lender and the L/C Participants, a letter of credit commission with respect to each Letter of Credit in the amount equal to the daily amount available to be drawn under such Letters of Credit times 50% of the Applicable Margin with respect to Revolving Credit Loans that are LIBOR Rate Loans (determined, in each case, on a per annum basis). Such commission shall be payable quarterly in arrears on the last Business Day of each calendar quarter,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in accordance with their respective Revolving Credit Commitment Percentages.</w:t>
      </w:r>
    </w:p>
    <w:p>
      <w:pPr>
        <w:spacing w:after="0" w:line="177" w:lineRule="exact"/>
        <w:rPr>
          <w:rFonts w:ascii="Arial" w:cs="Arial" w:eastAsia="Arial" w:hAnsi="Arial"/>
          <w:sz w:val="17"/>
          <w:szCs w:val="17"/>
          <w:color w:val="auto"/>
        </w:rPr>
      </w:pPr>
    </w:p>
    <w:p>
      <w:pPr>
        <w:jc w:val="both"/>
        <w:ind w:left="4" w:firstLine="436"/>
        <w:spacing w:after="0" w:line="296" w:lineRule="auto"/>
        <w:tabs>
          <w:tab w:leader="none" w:pos="834"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Issuance Fee</w:t>
      </w:r>
      <w:r>
        <w:rPr>
          <w:rFonts w:ascii="Arial" w:cs="Arial" w:eastAsia="Arial" w:hAnsi="Arial"/>
          <w:sz w:val="16"/>
          <w:szCs w:val="16"/>
          <w:color w:val="auto"/>
        </w:rPr>
        <w:t>. In addition to the foregoing commission, the applicable Borrower shall pay directly to the applicable Issuing Lender, for its own account, an issuance fee with respect to each Letter of Credit issued by such Issuing Lender as set forth in the applicable Fee Letter executed by such Issuing Lender.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4"/>
          </w:cols>
          <w:pgMar w:left="436" w:top="274" w:right="499" w:bottom="1440" w:gutter="0" w:footer="0" w:header="0"/>
        </w:sectPr>
      </w:pPr>
    </w:p>
    <w:bookmarkStart w:id="74" w:name="page75"/>
    <w:bookmarkEnd w:id="74"/>
    <w:p>
      <w:pPr>
        <w:ind w:left="4" w:right="120" w:firstLine="436"/>
        <w:spacing w:after="0" w:line="263" w:lineRule="auto"/>
        <w:tabs>
          <w:tab w:leader="none" w:pos="82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Fees, Costs, Charges and Expenses</w:t>
      </w:r>
      <w:r>
        <w:rPr>
          <w:rFonts w:ascii="Arial" w:cs="Arial" w:eastAsia="Arial" w:hAnsi="Arial"/>
          <w:sz w:val="18"/>
          <w:szCs w:val="18"/>
          <w:color w:val="auto"/>
        </w:rPr>
        <w:t>. In addition to the foregoing fees and commissions, the Borrowers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292" w:lineRule="exact"/>
        <w:rPr>
          <w:sz w:val="20"/>
          <w:szCs w:val="20"/>
          <w:color w:val="auto"/>
        </w:rPr>
      </w:pPr>
    </w:p>
    <w:p>
      <w:pPr>
        <w:ind w:left="444"/>
        <w:spacing w:after="0"/>
        <w:tabs>
          <w:tab w:leader="none" w:pos="1624"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L/C Participations</w:t>
      </w:r>
      <w:r>
        <w:rPr>
          <w:rFonts w:ascii="Arial" w:cs="Arial" w:eastAsia="Arial" w:hAnsi="Arial"/>
          <w:sz w:val="16"/>
          <w:szCs w:val="16"/>
          <w:color w:val="auto"/>
        </w:rPr>
        <w:t>.</w:t>
      </w:r>
    </w:p>
    <w:p>
      <w:pPr>
        <w:spacing w:after="0" w:line="117" w:lineRule="exact"/>
        <w:rPr>
          <w:sz w:val="20"/>
          <w:szCs w:val="20"/>
          <w:color w:val="auto"/>
        </w:rPr>
      </w:pPr>
    </w:p>
    <w:p>
      <w:pPr>
        <w:ind w:left="4" w:firstLine="436"/>
        <w:spacing w:after="0" w:line="289" w:lineRule="auto"/>
        <w:tabs>
          <w:tab w:leader="none" w:pos="824" w:val="left"/>
        </w:tabs>
        <w:numPr>
          <w:ilvl w:val="1"/>
          <w:numId w:val="68"/>
        </w:numPr>
        <w:rPr>
          <w:rFonts w:ascii="Arial" w:cs="Arial" w:eastAsia="Arial" w:hAnsi="Arial"/>
          <w:sz w:val="16"/>
          <w:szCs w:val="16"/>
          <w:color w:val="auto"/>
        </w:rPr>
      </w:pPr>
      <w:r>
        <w:rPr>
          <w:rFonts w:ascii="Arial" w:cs="Arial" w:eastAsia="Arial" w:hAnsi="Arial"/>
          <w:sz w:val="16"/>
          <w:szCs w:val="16"/>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Borrowers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spacing w:after="0" w:line="166" w:lineRule="exact"/>
        <w:rPr>
          <w:rFonts w:ascii="Arial" w:cs="Arial" w:eastAsia="Arial" w:hAnsi="Arial"/>
          <w:sz w:val="16"/>
          <w:szCs w:val="16"/>
          <w:color w:val="auto"/>
        </w:rPr>
      </w:pPr>
    </w:p>
    <w:p>
      <w:pPr>
        <w:ind w:left="4" w:right="120" w:firstLine="436"/>
        <w:spacing w:after="0" w:line="284" w:lineRule="auto"/>
        <w:tabs>
          <w:tab w:leader="none" w:pos="834"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Upon becoming aware of any amount required to be paid by any L/C Participant to any Issuing Lender pursuant to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such Issuing Lender on demand, in addition to such amount, the product of (i) such amount, </w:t>
      </w:r>
      <w:r>
        <w:rPr>
          <w:rFonts w:ascii="Arial" w:cs="Arial" w:eastAsia="Arial" w:hAnsi="Arial"/>
          <w:sz w:val="16"/>
          <w:szCs w:val="16"/>
          <w:u w:val="single" w:color="auto"/>
          <w:color w:val="auto"/>
        </w:rPr>
        <w:t>times</w:t>
      </w:r>
    </w:p>
    <w:p>
      <w:pPr>
        <w:spacing w:after="0" w:line="4" w:lineRule="exact"/>
        <w:rPr>
          <w:rFonts w:ascii="Arial" w:cs="Arial" w:eastAsia="Arial" w:hAnsi="Arial"/>
          <w:sz w:val="16"/>
          <w:szCs w:val="16"/>
          <w:color w:val="auto"/>
        </w:rPr>
      </w:pPr>
    </w:p>
    <w:p>
      <w:pPr>
        <w:ind w:left="4" w:right="80" w:hanging="4"/>
        <w:spacing w:after="0" w:line="290" w:lineRule="auto"/>
        <w:tabs>
          <w:tab w:leader="none" w:pos="269"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daily average Federal Funds Rate as determined by the Administrative Agent during the period from and including the date such payment is due to the date on which such payment is immediately available to such Issuing Lender,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(iii) a fraction the numerator of which is the number of days that elapse during such period and the denominator of which is 360.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63" w:lineRule="exact"/>
        <w:rPr>
          <w:rFonts w:ascii="Arial" w:cs="Arial" w:eastAsia="Arial" w:hAnsi="Arial"/>
          <w:sz w:val="16"/>
          <w:szCs w:val="16"/>
          <w:color w:val="auto"/>
        </w:rPr>
      </w:pPr>
    </w:p>
    <w:p>
      <w:pPr>
        <w:ind w:left="4" w:right="180" w:firstLine="436"/>
        <w:spacing w:after="0" w:line="255" w:lineRule="auto"/>
        <w:tabs>
          <w:tab w:leader="none" w:pos="821"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US Borrowers or otherwise), or any payment of interest on account thereof, such Issuing Lender will distribute to such L/C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92"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Reimbursement Obligation of the Borrowers</w:t>
      </w:r>
      <w:r>
        <w:rPr>
          <w:rFonts w:ascii="Arial" w:cs="Arial" w:eastAsia="Arial" w:hAnsi="Arial"/>
          <w:sz w:val="18"/>
          <w:szCs w:val="18"/>
          <w:color w:val="auto"/>
        </w:rPr>
        <w:t>. In the event of any drawing under any Letter of Credit, the applicable Borrower agrees to reimburse (either with the proceeds of a Revolving Credit Loan as provided for in this Section or with funds from other sources), in same day funds,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4"/>
          </w:cols>
          <w:pgMar w:left="436" w:top="274" w:right="479" w:bottom="1440" w:gutter="0" w:footer="0" w:header="0"/>
        </w:sectPr>
      </w:pPr>
    </w:p>
    <w:bookmarkStart w:id="75" w:name="page76"/>
    <w:bookmarkEnd w:id="75"/>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applicable Issuing Lender on each date on which such Issuing Lender notifies the applicable Borrower of the date and amount of a draft paid by it under any Letter of Credit for the amount of (a) such draft so paid and (b) any amounts referred to in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incurred by such Issuing Lender in connection with such payment. Unless the applicable Borrower shall immediately notify such Issuing Lender that such Borrower intends to reimburse such Issuing Lender for such drawing from other sources or funds, such Borrower shall be deemed to have timely given a Notice of Borrowing to the Administrative Agent requesting that the Revolving Credit Lenders make a Revolving Credit Loan bearing interest at the Base Rate on the applicable repayment date in the amount of (i) such draft so paid and (ii) any amounts referred to in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incurred by such Issuing Lender in connection with such payment, and the Revolving Credit Lenders shall make a Revolving Credit Loan bearing interest at the Base Rate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without limitation, non-satisfaction of the conditions set forth in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w:t>
      </w:r>
      <w:r>
        <w:rPr>
          <w:rFonts w:ascii="Arial" w:cs="Arial" w:eastAsia="Arial" w:hAnsi="Arial"/>
          <w:sz w:val="16"/>
          <w:szCs w:val="16"/>
          <w:color w:val="auto"/>
        </w:rPr>
        <w:t>. If a Borrower has elected to pay the amount of such drawing with funds from other sources and shall fail to reimburse such Issuing Lender as provided above, the unreimbursed amount of such drawing shall bear interest at the rate which would be payable on any outstanding Base Rate Loans which were then overdue from the date such amounts become payable (whether at stated maturity, by acceleration or otherwise) until payment in full.</w:t>
      </w:r>
    </w:p>
    <w:p>
      <w:pPr>
        <w:spacing w:after="0" w:line="17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Each Borrower’s obligations under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(including, without limitation, the Reimbursement Obligation) shall be absolute and unconditional under any and all circumstances and irrespective of any set off, counterclaim or defense to payment such Borrower may have or have had against the applicable Issuing Lender or any beneficiary of a Letter of Credit or any other Person. Each Borrower also agrees that the applicable Issuing Lender and the L/C Participants shall not be responsible for, and such Borrower’s Reimbursement Obligation under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shall not be affected by, among other things, the validity or genuineness of documents or of any endorsements thereon, even though such documents shall in fact prove to be invalid, fraudulent or forged, or any dispute between or among such Borrower and any beneficiary of any Letter of Credit or any other party to which such Letter of Credit may be transferred or any claims whatsoever of such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issued by it, except for errors or omissions caused by such Issuing Lender’s gross negligence or willful misconduct, as determined by a court of competent jurisdiction by final nonappealable judgment. Each Borrower agrees that any action taken or omitted by any Issuing Lender under or in connection with any Letter of Credit issued by it or the related drafts or documents, if done in the absence of gross negligence or willful misconduct shall be binding on such Borrower and shall not result in any liability of such Issuing Lender or any L/C Participant to any Borrower. The responsibility of any Issuing Lender to the Borrowers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7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Effect of Letter of Credit Application</w:t>
      </w:r>
      <w:r>
        <w:rPr>
          <w:rFonts w:ascii="Arial" w:cs="Arial" w:eastAsia="Arial" w:hAnsi="Arial"/>
          <w:sz w:val="18"/>
          <w:szCs w:val="18"/>
          <w:color w:val="auto"/>
        </w:rPr>
        <w:t>. To the extent that any provision of any Letter of Credit Application related to any Letter of Credit is inconsistent with the provisions of this Agreement, the provisions of this Agreement shall apply and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76" w:name="page77"/>
    <w:bookmarkEnd w:id="76"/>
    <w:p>
      <w:pPr>
        <w:ind w:left="444"/>
        <w:spacing w:after="0"/>
        <w:tabs>
          <w:tab w:leader="none" w:pos="1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3.8</w:t>
      </w:r>
      <w:r>
        <w:rPr>
          <w:sz w:val="20"/>
          <w:szCs w:val="20"/>
          <w:color w:val="auto"/>
        </w:rPr>
        <w:tab/>
      </w:r>
      <w:r>
        <w:rPr>
          <w:rFonts w:ascii="Arial" w:cs="Arial" w:eastAsia="Arial" w:hAnsi="Arial"/>
          <w:sz w:val="16"/>
          <w:szCs w:val="16"/>
          <w:u w:val="single" w:color="auto"/>
          <w:color w:val="auto"/>
        </w:rPr>
        <w:t>Removal and Resignation of Issuing Lenders</w:t>
      </w:r>
      <w:r>
        <w:rPr>
          <w:rFonts w:ascii="Arial" w:cs="Arial" w:eastAsia="Arial" w:hAnsi="Arial"/>
          <w:sz w:val="16"/>
          <w:szCs w:val="16"/>
          <w:color w:val="auto"/>
        </w:rPr>
        <w:t>.</w:t>
      </w:r>
    </w:p>
    <w:p>
      <w:pPr>
        <w:spacing w:after="0" w:line="117" w:lineRule="exact"/>
        <w:rPr>
          <w:sz w:val="20"/>
          <w:szCs w:val="20"/>
          <w:color w:val="auto"/>
        </w:rPr>
      </w:pPr>
    </w:p>
    <w:p>
      <w:pPr>
        <w:ind w:left="4" w:right="340" w:firstLine="436"/>
        <w:spacing w:after="0" w:line="263" w:lineRule="auto"/>
        <w:tabs>
          <w:tab w:leader="none" w:pos="8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Borrowers may at any time remove any Lender from its role as an Issuing Lender hereunder upon not less than thirty (30) days prior notice to such Issuing Lender and the Administrative Agent (or such shorter period of time as may be acceptable to such Issuing Lender and the Administrative Agent).</w:t>
      </w:r>
    </w:p>
    <w:p>
      <w:pPr>
        <w:spacing w:after="0" w:line="183" w:lineRule="exact"/>
        <w:rPr>
          <w:rFonts w:ascii="Arial" w:cs="Arial" w:eastAsia="Arial" w:hAnsi="Arial"/>
          <w:sz w:val="18"/>
          <w:szCs w:val="18"/>
          <w:color w:val="auto"/>
        </w:rPr>
      </w:pPr>
    </w:p>
    <w:p>
      <w:pPr>
        <w:ind w:left="4" w:right="260" w:firstLine="436"/>
        <w:spacing w:after="0" w:line="308" w:lineRule="auto"/>
        <w:tabs>
          <w:tab w:leader="none" w:pos="82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Lender may at any time resign from its role as an Issuing Lender hereunder upon not less than thirty (30) days prior notice to Centuri and the Administrative Agent (or such shorter period of time as may be acceptable to Centuri and the Administrative Agent).</w:t>
      </w:r>
    </w:p>
    <w:p>
      <w:pPr>
        <w:spacing w:after="0" w:line="146" w:lineRule="exact"/>
        <w:rPr>
          <w:rFonts w:ascii="Arial" w:cs="Arial" w:eastAsia="Arial" w:hAnsi="Arial"/>
          <w:sz w:val="17"/>
          <w:szCs w:val="17"/>
          <w:color w:val="auto"/>
        </w:rPr>
      </w:pPr>
    </w:p>
    <w:p>
      <w:pPr>
        <w:ind w:left="4" w:right="40" w:firstLine="436"/>
        <w:spacing w:after="0" w:line="259" w:lineRule="auto"/>
        <w:tabs>
          <w:tab w:leader="none" w:pos="8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connection with (i) any Refinancing Revolving Credit Commitments or (ii) any Extension of Revolving Credit Commitments, that has not been consented to by any Issuing Lender, such Issuing Lender may, in connection with such Refinancing Revolving Credit Commitments or Extension resign as an Issuing Lender hereunder upon not less than five (5) Business Days’ prior notice to Centuri and the Administrative Agent (or such shorter period of time as may be acceptable to Centuri and the Administrative Agent).</w:t>
      </w:r>
    </w:p>
    <w:p>
      <w:pPr>
        <w:spacing w:after="0" w:line="186" w:lineRule="exact"/>
        <w:rPr>
          <w:rFonts w:ascii="Arial" w:cs="Arial" w:eastAsia="Arial" w:hAnsi="Arial"/>
          <w:sz w:val="18"/>
          <w:szCs w:val="18"/>
          <w:color w:val="auto"/>
        </w:rPr>
      </w:pPr>
    </w:p>
    <w:p>
      <w:pPr>
        <w:ind w:left="4" w:firstLine="436"/>
        <w:spacing w:after="0" w:line="290" w:lineRule="auto"/>
        <w:tabs>
          <w:tab w:leader="none" w:pos="8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without limitation, the right to require the Revolving Credit Lenders to take such actions as are required under </w:t>
      </w:r>
      <w:r>
        <w:rPr>
          <w:rFonts w:ascii="Arial" w:cs="Arial" w:eastAsia="Arial" w:hAnsi="Arial"/>
          <w:sz w:val="16"/>
          <w:szCs w:val="16"/>
          <w:u w:val="single" w:color="auto"/>
          <w:color w:val="auto"/>
        </w:rPr>
        <w:t>Section 3.4</w:t>
      </w:r>
      <w:r>
        <w:rPr>
          <w:rFonts w:ascii="Arial" w:cs="Arial" w:eastAsia="Arial" w:hAnsi="Arial"/>
          <w:sz w:val="16"/>
          <w:szCs w:val="16"/>
          <w:color w:val="auto"/>
        </w:rPr>
        <w:t>). Without limiting the foregoing, upon the removal or resignation of a Lender as an Issuing Lender hereunder, the Borrowers may, or at the request of such removed or resigned Issuing Lender the Borrowers shall, use commercially reasonable efforts to, arrange for one or more of the other Issuing Lenders to issue Letters of Credit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165"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Reporting of Letter of Credit Information and L/C Commitment</w:t>
      </w:r>
      <w:r>
        <w:rPr>
          <w:rFonts w:ascii="Arial" w:cs="Arial" w:eastAsia="Arial" w:hAnsi="Arial"/>
          <w:sz w:val="16"/>
          <w:szCs w:val="16"/>
          <w:color w:val="auto"/>
        </w:rPr>
        <w:t>. At any time that there is an Issuing Lender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w:t>
      </w:r>
    </w:p>
    <w:p>
      <w:pPr>
        <w:spacing w:after="0" w:line="2" w:lineRule="exact"/>
        <w:rPr>
          <w:sz w:val="20"/>
          <w:szCs w:val="20"/>
          <w:color w:val="auto"/>
        </w:rPr>
      </w:pPr>
    </w:p>
    <w:p>
      <w:pPr>
        <w:ind w:left="4" w:right="60" w:hanging="4"/>
        <w:spacing w:after="0" w:line="288" w:lineRule="auto"/>
        <w:tabs>
          <w:tab w:leader="none" w:pos="259"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shall limit the obligations of the Borrowers or any Revolving Credit Lender hereunder with respect to its reimbursement and participation obligations hereunder.</w:t>
      </w:r>
    </w:p>
    <w:p>
      <w:pPr>
        <w:spacing w:after="0" w:line="168"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xml:space="preserve">. Notwithstanding that a Letter of Credit issued or outstanding hereunder is in support of any obligations of, or is for the account of, a Borrower or any Subsidiary or Affiliate thereof described in </w:t>
      </w:r>
      <w:r>
        <w:rPr>
          <w:rFonts w:ascii="Arial" w:cs="Arial" w:eastAsia="Arial" w:hAnsi="Arial"/>
          <w:sz w:val="18"/>
          <w:szCs w:val="18"/>
          <w:u w:val="single" w:color="auto"/>
          <w:color w:val="auto"/>
        </w:rPr>
        <w:t>Section 3.1(a)</w:t>
      </w:r>
      <w:r>
        <w:rPr>
          <w:rFonts w:ascii="Arial" w:cs="Arial" w:eastAsia="Arial" w:hAnsi="Arial"/>
          <w:sz w:val="18"/>
          <w:szCs w:val="18"/>
          <w:color w:val="auto"/>
        </w:rPr>
        <w:t>, the applicable Borrower shall be obligated to reimburse, or to cause the applicable Subsidiary or Affiliate to reimburse, the applicable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77" w:name="page78"/>
    <w:bookmarkEnd w:id="77"/>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Issuing Lender hereunder for any and all drawings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aggregate face amount of all Letters of Credit issued for the account of such Affiliates of the Borrowers that are not also Subsidiaries of the Borrowers shall not exceed $25,000,000 at any time outstanding. Each Borrower hereby acknowledges that the issuance of Letters of Credit for the account of any of its Subsidiaries or Affiliates inures to the benefit of such Borrower and that such Borrower’s business derives substantial benefits from the businesses of such Subsidiaries and Affiliates.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 LOAN FACILITY</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Initial Term Loan</w:t>
      </w:r>
      <w:r>
        <w:rPr>
          <w:rFonts w:ascii="Arial" w:cs="Arial" w:eastAsia="Arial" w:hAnsi="Arial"/>
          <w:sz w:val="18"/>
          <w:szCs w:val="18"/>
          <w:color w:val="auto"/>
        </w:rPr>
        <w:t>. Subject to the terms and conditions of this Agreement and the other Loan Documents, and in reliance upon the representations and warranties set forth in this Agreement and the other Loan Documents, each Term Loan Lender severally agrees to make the Initial Term Loan to Centuri, on the Closing Date, in a principal amount equal to such Lender’s Term Loan Percentage of the Initial Term Loan as of the Closing Date.</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Procedure for Advance of Initial Term Loan</w:t>
      </w:r>
      <w:r>
        <w:rPr>
          <w:rFonts w:ascii="Arial" w:cs="Arial" w:eastAsia="Arial" w:hAnsi="Arial"/>
          <w:sz w:val="17"/>
          <w:szCs w:val="17"/>
          <w:color w:val="auto"/>
        </w:rPr>
        <w:t xml:space="preserve">. The applicable Borrower shall give the Administrative Agent an irrevocable Notice of Borrowing prior to 11:00 a.m. on the Closing Date requesting that the Term Loan Lenders make the Initial Term Loan as a Base Rate Loan on such date (provided that the Centuri may request, no later than three (3) Business Days prior to the Closing Date, that the Term Loan Lenders make the Initial Term Loan as a LIBOR Rate Loan, as applicable, if Centuri has delivered to the Administrative Agent a letter in form and substance reasonably satisfactory to the Administrative Agent indemnifying the Lenders in the manner set forth in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of this Agreement). Upon receipt of such Notice of Borrowing from the applicable Borrower, the Administrative Agent shall promptly notify each Term Loan Lender thereof. Not later than 1:00 p.m. on the Closing Date, with respect to the Initial Term Loan made on the Closing Date, each Term Loan Lender will make available to the Administrative Agent for the account of the applicable Borrower, at the Administrative Agent’s Office in immediately available funds, the amount of such Initial Term Loan to be made by such Term Loan Lender on the Closing Date. The Borrowers hereby irrevocably authorize the Administrative Agent to disburse the proceeds of the Initial Term Loan in immediately available funds by wire transfer to such Person or Persons as may be designated by the applicable Borrower in writing.</w:t>
      </w:r>
    </w:p>
    <w:p>
      <w:pPr>
        <w:spacing w:after="0" w:line="290"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Repayment of Term Loans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57"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The Borrowers shall repay the aggregate outstanding principal amount of the Initial Term Loan in consecutive quarterly installments equal to $2,862,500 (as the amounts of individual installments may be adjusted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on the last Business Day of each of March, June, September and December commencing December 31,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final principal repayment installment of the Initial Term Loan shall be repaid on the Term Loan Maturity Date in an amount equal to the aggregate principal amount of all Initial Term Loans outstanding on such date, together with accrued interest thereon.</w:t>
      </w:r>
    </w:p>
    <w:p>
      <w:pPr>
        <w:spacing w:after="0" w:line="187" w:lineRule="exact"/>
        <w:rPr>
          <w:rFonts w:ascii="Arial" w:cs="Arial" w:eastAsia="Arial" w:hAnsi="Arial"/>
          <w:sz w:val="18"/>
          <w:szCs w:val="18"/>
          <w:color w:val="auto"/>
        </w:rPr>
      </w:pPr>
    </w:p>
    <w:p>
      <w:pPr>
        <w:ind w:right="480" w:firstLine="436"/>
        <w:spacing w:after="0" w:line="308" w:lineRule="auto"/>
        <w:tabs>
          <w:tab w:leader="none" w:pos="83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Incremental Term Loans</w:t>
      </w:r>
      <w:r>
        <w:rPr>
          <w:rFonts w:ascii="Arial" w:cs="Arial" w:eastAsia="Arial" w:hAnsi="Arial"/>
          <w:sz w:val="17"/>
          <w:szCs w:val="17"/>
          <w:color w:val="auto"/>
        </w:rPr>
        <w:t xml:space="preserve">. The US Borrowers or the Canadian Borrowers, as applicable, shall repay the aggregate outstanding principal amount of each Incremental Term Loan (if any) as determined pursuant to, and in accordance with, </w:t>
      </w:r>
      <w:r>
        <w:rPr>
          <w:rFonts w:ascii="Arial" w:cs="Arial" w:eastAsia="Arial" w:hAnsi="Arial"/>
          <w:sz w:val="17"/>
          <w:szCs w:val="17"/>
          <w:u w:val="single" w:color="auto"/>
          <w:color w:val="auto"/>
        </w:rPr>
        <w:t>Section 5.13</w:t>
      </w:r>
      <w:r>
        <w:rPr>
          <w:rFonts w:ascii="Arial" w:cs="Arial" w:eastAsia="Arial" w:hAnsi="Arial"/>
          <w:sz w:val="17"/>
          <w:szCs w:val="17"/>
          <w:color w:val="auto"/>
        </w:rPr>
        <w:t>.</w:t>
      </w:r>
    </w:p>
    <w:p>
      <w:pPr>
        <w:spacing w:after="0" w:line="254"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Prepayments of Term Loans</w:t>
      </w:r>
      <w:r>
        <w:rPr>
          <w:rFonts w:ascii="Arial" w:cs="Arial" w:eastAsia="Arial" w:hAnsi="Arial"/>
          <w:sz w:val="16"/>
          <w:szCs w:val="16"/>
          <w:color w:val="auto"/>
        </w:rPr>
        <w:t>.</w:t>
      </w:r>
    </w:p>
    <w:p>
      <w:pPr>
        <w:spacing w:after="0" w:line="117" w:lineRule="exact"/>
        <w:rPr>
          <w:sz w:val="20"/>
          <w:szCs w:val="20"/>
          <w:color w:val="auto"/>
        </w:rPr>
      </w:pPr>
    </w:p>
    <w:p>
      <w:pPr>
        <w:ind w:right="100" w:firstLine="436"/>
        <w:spacing w:after="0" w:line="277"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4.4(c)</w:t>
      </w:r>
      <w:r>
        <w:rPr>
          <w:rFonts w:ascii="Arial" w:cs="Arial" w:eastAsia="Arial" w:hAnsi="Arial"/>
          <w:sz w:val="18"/>
          <w:szCs w:val="18"/>
          <w:color w:val="auto"/>
        </w:rPr>
        <w:t>, the applicable Borrower shall have the right at any time and from time to time, without premium or penalty, to prepay any of the Term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in whole or in part, upon delivery to the Administrative Agent of a Notice of Prepayment not later than 11:00 a.m. (i) on the same Business Day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each Base Rate Loan, (ii) at least one (1) Business Day before each Canadian Base Rate Loan and (iii) at least three (3) Business Days before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LIBOR Rate Loan or CDOR Rate Loan, as applicable, specifying the date and amount of repayment, whether the repayment is of LIBOR Rate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CDOR Rate Loans, Base Rate Loans or Canadian Base Rate Loans or a combination thereof, and if a combination thereof, the amount allocable to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whether the repayment is of the Initial Term Loan, an Incremental Term Loan or a combination thereof, and if a combination thereof, the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allocable to each. Each optional prepayment of the Term Loans hereunder shall be in an aggregate principal amount of at least $5,000,000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C$5,000,000) or any whole multiple of $1,000,000 (C$1,000,000) in excess thereof and shall be applied, on a pro rata basis, to the outstanding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installments of the Term Loans being so repaid as directed by the applicable Borrowers (or, if not so directed, in direct order of maturity).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repayment shall be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hereof. A Notice of Prepayment received after 11:00 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received on the next Business Day. The Administrative Agent shall promptly notify the applicable Term Loan Lenders of each Notice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Prepayment. Notwithstanding the foregoing, any Notice of Prepayment delivered in connection with any refinancing of all of the Credit Facility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of such refinancing or of any other incurrence of Indebtedness may be, if expressly so stated to be, contingent upon the consummation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refinancing or incurrence and may be revoked by the applicable Borrower in the event such refinancing is not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delay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failure of such contingency shall not relieve any Borrower from its obligations in respect thereof under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319" w:lineRule="exact"/>
        <w:rPr>
          <w:sz w:val="20"/>
          <w:szCs w:val="20"/>
          <w:color w:val="auto"/>
        </w:rPr>
      </w:pPr>
    </w:p>
    <w:p>
      <w:pPr>
        <w:ind w:left="820" w:hanging="384"/>
        <w:spacing w:after="0"/>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59" w:lineRule="auto"/>
        <w:tabs>
          <w:tab w:leader="none" w:pos="1213"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Debt Issuances</w:t>
      </w:r>
      <w:r>
        <w:rPr>
          <w:rFonts w:ascii="Arial" w:cs="Arial" w:eastAsia="Arial" w:hAnsi="Arial"/>
          <w:sz w:val="18"/>
          <w:szCs w:val="18"/>
          <w:color w:val="auto"/>
        </w:rPr>
        <w:t xml:space="preserve">. The Borrowers shall make mandatory principal prepayments of the Loans in the manner set forth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below in an amount equal to one hundred percent (100%) of the aggregate Net Cash Proceeds from any Debt Issuance of Refinancing Debt or any other Debt Issuance not otherwise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Such prepayment shall be made within three (3) Business Days after the date of receipt of the Net Cash Proceeds of any such Debt Issuance.</w:t>
      </w:r>
    </w:p>
    <w:p>
      <w:pPr>
        <w:spacing w:after="0" w:line="78" w:lineRule="exact"/>
        <w:rPr>
          <w:rFonts w:ascii="Arial" w:cs="Arial" w:eastAsia="Arial" w:hAnsi="Arial"/>
          <w:sz w:val="18"/>
          <w:szCs w:val="18"/>
          <w:color w:val="auto"/>
        </w:rPr>
      </w:pPr>
    </w:p>
    <w:p>
      <w:pPr>
        <w:ind w:left="440" w:firstLine="419"/>
        <w:spacing w:after="0" w:line="287" w:lineRule="auto"/>
        <w:tabs>
          <w:tab w:leader="none" w:pos="1263"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Asset Dispositions and Insurance and Condemnation Events</w:t>
      </w:r>
      <w:r>
        <w:rPr>
          <w:rFonts w:ascii="Arial" w:cs="Arial" w:eastAsia="Arial" w:hAnsi="Arial"/>
          <w:sz w:val="16"/>
          <w:szCs w:val="16"/>
          <w:color w:val="auto"/>
        </w:rPr>
        <w:t xml:space="preserve">. The Borrowers shall make mandatory principal prepayments of the Loans in the manner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in amounts equal to one hundred percent (100%) of the aggregate Net Cash Proceeds from (A) any Asset Disposition (other than any Asset Disposition permitted pursuant to, and in accordance with, clauses (a) through (p) of </w:t>
      </w:r>
      <w:r>
        <w:rPr>
          <w:rFonts w:ascii="Arial" w:cs="Arial" w:eastAsia="Arial" w:hAnsi="Arial"/>
          <w:sz w:val="16"/>
          <w:szCs w:val="16"/>
          <w:u w:val="single" w:color="auto"/>
          <w:color w:val="auto"/>
        </w:rPr>
        <w:t>Section 9.5</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(B) any Insurance and Condemnation Event, to the extent that the aggregate amount of such Net Cash Proceeds, in the case of each of clauses</w:t>
      </w:r>
    </w:p>
    <w:p>
      <w:pPr>
        <w:spacing w:after="0" w:line="32" w:lineRule="exact"/>
        <w:rPr>
          <w:rFonts w:ascii="Arial" w:cs="Arial" w:eastAsia="Arial" w:hAnsi="Arial"/>
          <w:sz w:val="16"/>
          <w:szCs w:val="16"/>
          <w:color w:val="auto"/>
        </w:rPr>
      </w:pPr>
    </w:p>
    <w:p>
      <w:pPr>
        <w:ind w:left="440" w:right="4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(A) and (B), respectively, exceed $5,000,000 during any Fiscal Year. Such prepayments shall be made within three (3) Business Days after the date of receipt of the Net Cash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Default or Event of Default has occurred and is continuing, no prepayment shall be required under this </w:t>
      </w:r>
      <w:r>
        <w:rPr>
          <w:rFonts w:ascii="Arial" w:cs="Arial" w:eastAsia="Arial" w:hAnsi="Arial"/>
          <w:sz w:val="17"/>
          <w:szCs w:val="17"/>
          <w:u w:val="single" w:color="auto"/>
          <w:color w:val="auto"/>
        </w:rPr>
        <w:t>Section 4.4(b)(ii)</w:t>
      </w:r>
      <w:r>
        <w:rPr>
          <w:rFonts w:ascii="Arial" w:cs="Arial" w:eastAsia="Arial" w:hAnsi="Arial"/>
          <w:sz w:val="17"/>
          <w:szCs w:val="17"/>
          <w:color w:val="auto"/>
        </w:rPr>
        <w:t xml:space="preserve"> with respect to such portion of such Net Cash Proceeds that Centuri shall have reinvested, or prior to such date given written notice to the Administrative Agent of its intent to reinvest in accordance with </w:t>
      </w:r>
      <w:r>
        <w:rPr>
          <w:rFonts w:ascii="Arial" w:cs="Arial" w:eastAsia="Arial" w:hAnsi="Arial"/>
          <w:sz w:val="17"/>
          <w:szCs w:val="17"/>
          <w:u w:val="single" w:color="auto"/>
          <w:color w:val="auto"/>
        </w:rPr>
        <w:t>Section 4.4(b)(iii)</w:t>
      </w:r>
      <w:r>
        <w:rPr>
          <w:rFonts w:ascii="Arial" w:cs="Arial" w:eastAsia="Arial" w:hAnsi="Arial"/>
          <w:sz w:val="17"/>
          <w:szCs w:val="17"/>
          <w:color w:val="auto"/>
        </w:rPr>
        <w:t>.</w:t>
      </w:r>
    </w:p>
    <w:p>
      <w:pPr>
        <w:spacing w:after="0" w:line="68" w:lineRule="exact"/>
        <w:rPr>
          <w:rFonts w:ascii="Arial" w:cs="Arial" w:eastAsia="Arial" w:hAnsi="Arial"/>
          <w:sz w:val="16"/>
          <w:szCs w:val="16"/>
          <w:color w:val="auto"/>
        </w:rPr>
      </w:pPr>
    </w:p>
    <w:p>
      <w:pPr>
        <w:ind w:left="440" w:right="220" w:firstLine="415"/>
        <w:spacing w:after="0" w:line="255" w:lineRule="auto"/>
        <w:tabs>
          <w:tab w:leader="none" w:pos="1308"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Reinvestment Option</w:t>
      </w:r>
      <w:r>
        <w:rPr>
          <w:rFonts w:ascii="Arial" w:cs="Arial" w:eastAsia="Arial" w:hAnsi="Arial"/>
          <w:sz w:val="18"/>
          <w:szCs w:val="18"/>
          <w:color w:val="auto"/>
        </w:rPr>
        <w:t xml:space="preserve">. With respect to any Net Cash Proceeds realized or received with respect to any Asset Disposition or any Insurance and Condemnation Event by any Credit Party of any Subsidiary thereof (in each case, to the extent not excluded pursuant to </w:t>
      </w:r>
      <w:r>
        <w:rPr>
          <w:rFonts w:ascii="Arial" w:cs="Arial" w:eastAsia="Arial" w:hAnsi="Arial"/>
          <w:sz w:val="18"/>
          <w:szCs w:val="18"/>
          <w:u w:val="single" w:color="auto"/>
          <w:color w:val="auto"/>
        </w:rPr>
        <w:t>Section 4.4(b)(ii)</w:t>
      </w:r>
      <w:r>
        <w:rPr>
          <w:rFonts w:ascii="Arial" w:cs="Arial" w:eastAsia="Arial" w:hAnsi="Arial"/>
          <w:sz w:val="18"/>
          <w:szCs w:val="18"/>
          <w:color w:val="auto"/>
        </w:rPr>
        <w:t>), at the option of Centuri, the Credit Parties may reinvest all or any portion of such Net Cash Proceeds in assets used or useful for the business of the Credit Parties and their Subsidiaries within (x) twelve (12) months following receipt of such Net Cash Proceeds or (y) if such Credit Party enters into a bona fide commitment to reinvest such Net Cash Proceeds within twelve (12) months following receipt thereof, within the later of (A) twelve (12) months following receipt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9" w:name="page80"/>
    <w:bookmarkEnd w:id="79"/>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thereof and (B) six (6) months of the date of such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Net Cash Proceeds are no longer intended to be or cannot be so reinvested at any time after delivery of a notice of reinvestment election, an amount equal to any such Net Cash Proceeds shall be applied within three (3) Business Days after the applicable Credit Party reasonably determines that such Net Cash Proceeds are no longer intended to be or cannot be so reinvested to the prepayment of the Term Loans as set forth in this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Net Cash Proceeds relating to Collateral shall be reinvested in assets constituting Collateral. Pending the final application of any such Net Cash Proceeds, the applicable Credit Party may invest an amount equal to such Net Cash Proceeds in any manner that is not prohibited by this Agreement.</w:t>
      </w:r>
    </w:p>
    <w:p>
      <w:pPr>
        <w:spacing w:after="0" w:line="56" w:lineRule="exact"/>
        <w:rPr>
          <w:sz w:val="20"/>
          <w:szCs w:val="20"/>
          <w:color w:val="auto"/>
        </w:rPr>
      </w:pPr>
    </w:p>
    <w:p>
      <w:pPr>
        <w:ind w:left="864" w:hanging="441"/>
        <w:spacing w:after="0"/>
        <w:tabs>
          <w:tab w:leader="none" w:pos="864"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Excess Cash Flow</w:t>
      </w:r>
      <w:r>
        <w:rPr>
          <w:rFonts w:ascii="Arial" w:cs="Arial" w:eastAsia="Arial" w:hAnsi="Arial"/>
          <w:sz w:val="17"/>
          <w:szCs w:val="17"/>
          <w:color w:val="auto"/>
        </w:rPr>
        <w:t>. After the end of each Fiscal Year (commencing with the Fiscal Year ending December 31, 2022), within five</w:t>
      </w:r>
    </w:p>
    <w:p>
      <w:pPr>
        <w:spacing w:after="0" w:line="34" w:lineRule="exact"/>
        <w:rPr>
          <w:rFonts w:ascii="Arial" w:cs="Arial" w:eastAsia="Arial" w:hAnsi="Arial"/>
          <w:sz w:val="17"/>
          <w:szCs w:val="17"/>
          <w:color w:val="auto"/>
        </w:rPr>
      </w:pPr>
    </w:p>
    <w:p>
      <w:pPr>
        <w:ind w:left="4" w:hanging="4"/>
        <w:spacing w:after="0" w:line="285" w:lineRule="auto"/>
        <w:tabs>
          <w:tab w:leader="none" w:pos="258"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Business Days after the earlier to occur of (x) the actual delivery of the financial statements and related Officer’s Compliance Certificate for such Fiscal Year and (y) the date on which the financial statements and the related Officer’s Compliance Certificate for such Fiscal Year are required to be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the Borrowers shall make mandatory principal prepayments of the Loans in the manner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in an amount equal to (A) the applicable ECF Percentage for such Fiscal Year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Excess Cash Flow for such Fiscal Year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(i) all optional prepayments of Revolving Credit Loans during such Fiscal Year (solely to the extent accompanied by permanent optional reductions in the Revolving Credit Commitment) and (ii) all optional prepayments of any Term Loans during such Fiscal Year, in each case to the extent that such prepayments are not funded with the incurrence of any Indebtedness, any Equity Issuance, any casualty proceeds, any condemnation proceeds or any other proceeds that would not be included in Consolidated EBITDA;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no Event of Default has occurred and is continuing or would result therefrom, no such prepayments shall be required unless Excess Cash Flow for such year equals or exceeds $5,000,000, at which point the Borrowers shall cause to be prepaid an aggregate principal amount of Loans equal to the applicable percentage of Excess Cash Flow as set forth herein from the first dollar.</w:t>
      </w:r>
    </w:p>
    <w:p>
      <w:pPr>
        <w:spacing w:after="0" w:line="66" w:lineRule="exact"/>
        <w:rPr>
          <w:rFonts w:ascii="Arial" w:cs="Arial" w:eastAsia="Arial" w:hAnsi="Arial"/>
          <w:sz w:val="16"/>
          <w:szCs w:val="16"/>
          <w:color w:val="auto"/>
        </w:rPr>
      </w:pPr>
    </w:p>
    <w:p>
      <w:pPr>
        <w:ind w:left="4" w:firstLine="419"/>
        <w:spacing w:after="0" w:line="268" w:lineRule="auto"/>
        <w:tabs>
          <w:tab w:leader="none" w:pos="816"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Notice; Manner of Payment</w:t>
      </w:r>
      <w:r>
        <w:rPr>
          <w:rFonts w:ascii="Arial" w:cs="Arial" w:eastAsia="Arial" w:hAnsi="Arial"/>
          <w:sz w:val="17"/>
          <w:szCs w:val="17"/>
          <w:color w:val="auto"/>
        </w:rPr>
        <w:t xml:space="preserve">. Upon the occurrence of any event triggering the prepayment requirement under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and including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the applicable Borrower shall promptly deliver a Notice of Prepayment to the Administrative Agent and upon receipt of such notice, the Administrative Agent shall promptly so notify the Lenders. Each prepayment of the Loans under this Section shall be applied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ratably between the Initial Term Loan and any Incremental Term Loans to reduce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(applied to reduce the remaining scheduled principal installments of the Initial Term Loan and any Incremental Term Loans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and (ii)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extent of any excess, to repay the Revolving Credit Loans pursuant to </w:t>
      </w:r>
      <w:r>
        <w:rPr>
          <w:rFonts w:ascii="Arial" w:cs="Arial" w:eastAsia="Arial" w:hAnsi="Arial"/>
          <w:sz w:val="17"/>
          <w:szCs w:val="17"/>
          <w:u w:val="single" w:color="auto"/>
          <w:color w:val="auto"/>
        </w:rPr>
        <w:t>Section 2.4(d)</w:t>
      </w:r>
      <w:r>
        <w:rPr>
          <w:rFonts w:ascii="Arial" w:cs="Arial" w:eastAsia="Arial" w:hAnsi="Arial"/>
          <w:sz w:val="17"/>
          <w:szCs w:val="17"/>
          <w:color w:val="auto"/>
        </w:rPr>
        <w:t xml:space="preserve">, without a corresponding reduction in the Revolving Credit Commitment. Proceeds of any Refinancing Debt shall be applied solely to prepay each applicable Class of Term Loans and/or Revolving Credit Loans subject to such Refinance. Notwithstanding the foregoing, with respect to any Net Cash Proceeds from any Asset Disposition or Insurance and Condemnation Event, the applicable Borrower may prepay Term Loans and prepay or purchase any Refinancing Notes or Incremental Equivalent Indebtedness that is secured by the Collateral on a pari passu basis (at a purchase price no greater than par plus accrued and unpaid interest), to the extent required thereby,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in accordance with the respective outstanding principal amounts of the Term Loans and such Refinancing Notes or Incremental Equivalent Indebtedness as of the time of the applicable Asset Disposition or Insurance and Condemnation Event.</w:t>
      </w:r>
    </w:p>
    <w:p>
      <w:pPr>
        <w:spacing w:after="0" w:line="78" w:lineRule="exact"/>
        <w:rPr>
          <w:rFonts w:ascii="Arial" w:cs="Arial" w:eastAsia="Arial" w:hAnsi="Arial"/>
          <w:sz w:val="17"/>
          <w:szCs w:val="17"/>
          <w:color w:val="auto"/>
        </w:rPr>
      </w:pPr>
    </w:p>
    <w:p>
      <w:pPr>
        <w:ind w:left="4" w:right="120" w:firstLine="419"/>
        <w:spacing w:after="0" w:line="342" w:lineRule="auto"/>
        <w:tabs>
          <w:tab w:leader="none" w:pos="866"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Rejection Right</w:t>
      </w:r>
      <w:r>
        <w:rPr>
          <w:rFonts w:ascii="Arial" w:cs="Arial" w:eastAsia="Arial" w:hAnsi="Arial"/>
          <w:sz w:val="16"/>
          <w:szCs w:val="16"/>
          <w:color w:val="auto"/>
        </w:rPr>
        <w:t xml:space="preserve">. Each Term Loan Lender may reject all (but not less than all) of its pro rata share of any mandatory prepayment (except in the case of any prepayment of Term Loans in accordance with </w:t>
      </w:r>
      <w:r>
        <w:rPr>
          <w:rFonts w:ascii="Arial" w:cs="Arial" w:eastAsia="Arial" w:hAnsi="Arial"/>
          <w:sz w:val="16"/>
          <w:szCs w:val="16"/>
          <w:u w:val="single" w:color="auto"/>
          <w:color w:val="auto"/>
        </w:rPr>
        <w:t>Section 4.4(b)(i)</w:t>
      </w:r>
      <w:r>
        <w:rPr>
          <w:rFonts w:ascii="Arial" w:cs="Arial" w:eastAsia="Arial" w:hAnsi="Arial"/>
          <w:sz w:val="16"/>
          <w:szCs w:val="16"/>
          <w:color w:val="auto"/>
        </w:rPr>
        <w:t xml:space="preserve"> with the proceeds of Refinancing Debt) (such declined</w:t>
      </w:r>
    </w:p>
    <w:p>
      <w:pPr>
        <w:spacing w:after="0" w:line="5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64"/>
          </w:cols>
          <w:pgMar w:left="876" w:top="274" w:right="459" w:bottom="1440" w:gutter="0" w:footer="0" w:header="0"/>
        </w:sectPr>
      </w:pPr>
    </w:p>
    <w:bookmarkStart w:id="80" w:name="page81"/>
    <w:bookmarkEnd w:id="80"/>
    <w:p>
      <w:pPr>
        <w:ind w:left="440"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amounts, the “</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of Term Loans required to be made pursuant to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by providing written notice to the Administrative Agent no later than 5:00 p.m. one Business Day after the date of such Lender’s receipt of notice from the Administrative Agent regarding such prepayment. If a Lender fails to deliver a notice of rejection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shall be retained by the Borrowers and used for any purpose not prohibited by this Agreement.</w:t>
      </w:r>
    </w:p>
    <w:p>
      <w:pPr>
        <w:spacing w:after="0" w:line="84" w:lineRule="exact"/>
        <w:rPr>
          <w:sz w:val="20"/>
          <w:szCs w:val="20"/>
          <w:color w:val="auto"/>
        </w:rPr>
      </w:pPr>
    </w:p>
    <w:p>
      <w:pPr>
        <w:ind w:left="440" w:firstLine="419"/>
        <w:spacing w:after="0" w:line="287" w:lineRule="auto"/>
        <w:tabs>
          <w:tab w:leader="none" w:pos="1353"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Prepayment of LIBOR Rate Loans and CDOR Rate Loans</w:t>
      </w:r>
      <w:r>
        <w:rPr>
          <w:rFonts w:ascii="Arial" w:cs="Arial" w:eastAsia="Arial" w:hAnsi="Arial"/>
          <w:sz w:val="16"/>
          <w:szCs w:val="16"/>
          <w:color w:val="auto"/>
        </w:rPr>
        <w:t xml:space="preserve">. Each prepayment shall be accompanied by any amount required to be paid pursuant to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Default or Event of Default shall have occurred and be continuing, if any prepayment of LIBOR Rate Loans or CDOR Rate Loans is required to be made under this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prior to the last day of the Interest Period therefor, in lieu of making any payment pursuant to this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in respect of any such LIBOR Rate Loan or CDOR Rate Loans prior to the last day of the Interest Period therefor, the applicable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Borrowers or any other Credit Party) to apply such amount to the prepayment of such Term Loans in accordance with this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Upon the occurrence and during the continuance of any Default or Event of Default, the Administrative Agent shall also be authorized (without any further action by or notice to or from the Borrowers or any other Credit Party) to apply such amount to the prepayment of the outstanding Term Loans in accordance with the relevant provisions of this </w:t>
      </w:r>
      <w:r>
        <w:rPr>
          <w:rFonts w:ascii="Arial" w:cs="Arial" w:eastAsia="Arial" w:hAnsi="Arial"/>
          <w:sz w:val="16"/>
          <w:szCs w:val="16"/>
          <w:u w:val="single" w:color="auto"/>
          <w:color w:val="auto"/>
        </w:rPr>
        <w:t>Section 4.4(b)</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1400" w:hanging="541"/>
        <w:spacing w:after="0"/>
        <w:tabs>
          <w:tab w:leader="none" w:pos="140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No Reborrowings</w:t>
      </w:r>
      <w:r>
        <w:rPr>
          <w:rFonts w:ascii="Arial" w:cs="Arial" w:eastAsia="Arial" w:hAnsi="Arial"/>
          <w:sz w:val="18"/>
          <w:szCs w:val="18"/>
          <w:color w:val="auto"/>
        </w:rPr>
        <w:t>. Amounts prepaid under the Term Loan pursuant to this Section may not be reborrowed.</w:t>
      </w:r>
    </w:p>
    <w:p>
      <w:pPr>
        <w:spacing w:after="0" w:line="225" w:lineRule="exact"/>
        <w:rPr>
          <w:rFonts w:ascii="Arial" w:cs="Arial" w:eastAsia="Arial" w:hAnsi="Arial"/>
          <w:sz w:val="18"/>
          <w:szCs w:val="18"/>
          <w:color w:val="auto"/>
        </w:rPr>
      </w:pPr>
    </w:p>
    <w:p>
      <w:pPr>
        <w:jc w:val="both"/>
        <w:ind w:firstLine="436"/>
        <w:spacing w:after="0" w:line="255"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Call Premium</w:t>
      </w:r>
      <w:r>
        <w:rPr>
          <w:rFonts w:ascii="Arial" w:cs="Arial" w:eastAsia="Arial" w:hAnsi="Arial"/>
          <w:sz w:val="18"/>
          <w:szCs w:val="18"/>
          <w:color w:val="auto"/>
        </w:rPr>
        <w:t xml:space="preserve">. In connection with any Repricing Transaction that is consummated in respect of all or any portion of the Initial Term Loans, during the six (6) month period following the Closing Date, the Borrower shall pay to the Administrative Agent, for the ratable benefit each Term Loan Lender, a fee equal to 1.0% of the aggregate principal amount of the Initial Term Loans of such Term Loan Lender subject to such Repricing Transaction (it being understood that any such fees under clause (b) of the definition of “Repricing Transaction” shall be paid to each Non-Consenting Lender that is replaced in such Repricing Transaction pursuant to </w:t>
      </w:r>
      <w:r>
        <w:rPr>
          <w:rFonts w:ascii="Arial" w:cs="Arial" w:eastAsia="Arial" w:hAnsi="Arial"/>
          <w:sz w:val="18"/>
          <w:szCs w:val="18"/>
          <w:u w:val="single" w:color="auto"/>
          <w:color w:val="auto"/>
        </w:rPr>
        <w:t>Section 5.12(b)</w:t>
      </w:r>
      <w:r>
        <w:rPr>
          <w:rFonts w:ascii="Arial" w:cs="Arial" w:eastAsia="Arial" w:hAnsi="Arial"/>
          <w:sz w:val="18"/>
          <w:szCs w:val="18"/>
          <w:color w:val="auto"/>
        </w:rPr>
        <w:t>). Such fees shall be due and payable within three (3) Business Days of the date of the effectiveness of such Repricing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LOAN PROVISIONS</w:t>
      </w:r>
    </w:p>
    <w:p>
      <w:pPr>
        <w:spacing w:after="0" w:line="225"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17" w:lineRule="exact"/>
        <w:rPr>
          <w:sz w:val="20"/>
          <w:szCs w:val="20"/>
          <w:color w:val="auto"/>
        </w:rPr>
      </w:pPr>
    </w:p>
    <w:p>
      <w:pPr>
        <w:ind w:left="820" w:hanging="384"/>
        <w:spacing w:after="0"/>
        <w:tabs>
          <w:tab w:leader="none" w:pos="8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Interest Rate Options</w:t>
      </w:r>
      <w:r>
        <w:rPr>
          <w:rFonts w:ascii="Arial" w:cs="Arial" w:eastAsia="Arial" w:hAnsi="Arial"/>
          <w:sz w:val="16"/>
          <w:szCs w:val="16"/>
          <w:color w:val="auto"/>
        </w:rPr>
        <w:t>. Subject to the provisions of this Section, at the election of the US Borrowers or the Canadian Borrowers, as applicable:</w:t>
      </w:r>
    </w:p>
    <w:p>
      <w:pPr>
        <w:spacing w:after="0" w:line="140" w:lineRule="exact"/>
        <w:rPr>
          <w:rFonts w:ascii="Arial" w:cs="Arial" w:eastAsia="Arial" w:hAnsi="Arial"/>
          <w:sz w:val="16"/>
          <w:szCs w:val="16"/>
          <w:color w:val="auto"/>
        </w:rPr>
      </w:pPr>
    </w:p>
    <w:p>
      <w:pPr>
        <w:jc w:val="both"/>
        <w:ind w:left="440" w:right="280" w:firstLine="419"/>
        <w:spacing w:after="0" w:line="263" w:lineRule="auto"/>
        <w:tabs>
          <w:tab w:leader="none" w:pos="1213"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US Revolving Credit Loans and any Term Loans denominated in Dollars shall bear interest at (A)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or (B) the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LIBOR Rate shall not be available until three (3) Business Days after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81" w:name="page82"/>
    <w:bookmarkEnd w:id="81"/>
    <w:p>
      <w:pPr>
        <w:ind w:left="44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Closing Date unless the US Borrowers have delivered to the Administrative Agent a letter in form and substance reasonably satisfactory to the Administrative Agent indemnifying the Lenders in the manner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of this Agreement);</w:t>
      </w:r>
    </w:p>
    <w:p>
      <w:pPr>
        <w:spacing w:after="0" w:line="62" w:lineRule="exact"/>
        <w:rPr>
          <w:sz w:val="20"/>
          <w:szCs w:val="20"/>
          <w:color w:val="auto"/>
        </w:rPr>
      </w:pPr>
    </w:p>
    <w:p>
      <w:pPr>
        <w:ind w:left="440" w:right="60" w:firstLine="419"/>
        <w:spacing w:after="0" w:line="291" w:lineRule="auto"/>
        <w:tabs>
          <w:tab w:leader="none" w:pos="1263"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Canadian Revolving Credit Loans and Term Loans denominated in Canadian Dollars shall bear interest at (A) the Canadian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or (B) the CDOR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CDOR Rate shall not be available until four</w:t>
      </w:r>
    </w:p>
    <w:p>
      <w:pPr>
        <w:ind w:left="440" w:hanging="4"/>
        <w:spacing w:after="0" w:line="323"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Business Days after the Closing Date unless the Canadian Borrowers have delivered to the Administrative Agent a letter in form and substance reasonably satisfactory to the Administrative Agent indemnifying the Lenders in the manner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of this Agreement);</w:t>
      </w:r>
    </w:p>
    <w:p>
      <w:pPr>
        <w:spacing w:after="0" w:line="30" w:lineRule="exact"/>
        <w:rPr>
          <w:rFonts w:ascii="Arial" w:cs="Arial" w:eastAsia="Arial" w:hAnsi="Arial"/>
          <w:sz w:val="16"/>
          <w:szCs w:val="16"/>
          <w:color w:val="auto"/>
        </w:rPr>
      </w:pPr>
    </w:p>
    <w:p>
      <w:pPr>
        <w:ind w:left="1300" w:hanging="441"/>
        <w:spacing w:after="0"/>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US Swingline Loans shall bear interest at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and</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Canadian Swingline Loans shall bear interest at the Canadian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US Borrowers or the Canadian Borrowers, as applicable, shall select the rate of interest and Interest Period, if any, applicable to any Loan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time a Notice of Borrowing is given or at the time a Notice of Conversion/Continuation is given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Any US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or Term Loan denominated in Dollars or any portion thereof as to which a US Borrower has not duly specified an interest rate as provided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a Base Rate Loan. Any Canadian Revolving Credit Loan or Term Loan denominated in Canadian Dollars or any portion thereof as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a Canadian Borrower has not duly specified an interest rate as provided herein shall be deemed a Canadian Base Rate Loan.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5.1(b)</w:t>
      </w:r>
      <w:r>
        <w:rPr>
          <w:rFonts w:ascii="Arial" w:cs="Arial" w:eastAsia="Arial" w:hAnsi="Arial"/>
          <w:sz w:val="16"/>
          <w:szCs w:val="16"/>
          <w:color w:val="auto"/>
        </w:rPr>
        <w:t>, any LIBOR Rate Loan or CDOR Rate Loan or any portion thereof as to which the applicable Borrower has not duly specified an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as provided herein shall be deemed a LIBOR Rate Loan or a CDOR Rate Loan with an Interest Period of one (1) month.</w:t>
      </w:r>
    </w:p>
    <w:p>
      <w:pPr>
        <w:spacing w:after="0" w:line="211"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u w:val="single" w:color="auto"/>
          <w:color w:val="auto"/>
        </w:rPr>
        <w:t>Default Rate</w:t>
      </w:r>
      <w:r>
        <w:rPr>
          <w:rFonts w:ascii="Arial" w:cs="Arial" w:eastAsia="Arial" w:hAnsi="Arial"/>
          <w:sz w:val="16"/>
          <w:szCs w:val="16"/>
          <w:color w:val="auto"/>
        </w:rPr>
        <w:t>. Subject to</w:t>
      </w:r>
      <w:r>
        <w:rPr>
          <w:rFonts w:ascii="Arial" w:cs="Arial" w:eastAsia="Arial" w:hAnsi="Arial"/>
          <w:sz w:val="16"/>
          <w:szCs w:val="16"/>
          <w:u w:val="single" w:color="auto"/>
          <w:color w:val="auto"/>
        </w:rPr>
        <w:t xml:space="preserve"> Section 10.3</w:t>
      </w:r>
      <w:r>
        <w:rPr>
          <w:rFonts w:ascii="Arial" w:cs="Arial" w:eastAsia="Arial" w:hAnsi="Arial"/>
          <w:sz w:val="16"/>
          <w:szCs w:val="16"/>
          <w:color w:val="auto"/>
        </w:rPr>
        <w:t>, (i) immediately upon the occurrence and during the continuance of an Event of Default under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or (ii) at the election of the Required Lenders (or the Administrative Agent at the direction of the Required Lenders),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and during the continuance of any other Event of Default, (A) the Borrowers shall no longer have the option to request LIBOR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CDOR Rate Loans, Swingline Loans or Letters of Credit, (B) all outstanding LIBOR Rate Loans shall bear interest at a rate per annum of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 (2%) in excess of the rate (including the Applicable Margin) then applicable to LIBOR Rate Loans until the end of the applicable Interest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thereafter at a rate equal to two percent (2%) in excess of the rate (including the Applicable Margin) then applicable to Base Rate Loans, (C)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CDOR Rate Loans shall bear interest at a rate per annum of two percent (2%) in excess of the rate (including the Applicable Margin)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to CDOR Rate Loans until the end of the applicable Interest Period and thereafter at a rate equal to two percent (2%) in excess of the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Applicable Margin) then applicable to Canadian Base Rate Loans, (D) all outstanding Base Rate Loans and other US Obligations arising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hereunder or under any other Loan Document shall bear interest at a rate per annum equal to two percent (2%) in excess of the rate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Margin) then applicable to Base Rate Loans or such other US Obligations arising hereunder or under any other Loan Document, (E)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Canadian Base Rate Loans and other Canadian Obligations arising hereunder or under any other Loan Document shall bear interest at a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annum equal to two percent (2%) in excess of the rate (including the Applicable Margin) then applicable to Canadian Base Rate Loans or such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Canadian Obligations arising hereunder or under any other Loan Document, and (F) all accrued and unpaid interest shall be due and payable on demand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Administrative Agent. Interest shall continue to accrue on the Obligations after the filing by or against any Borrower of any petition seeking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relief in bankruptcy or under any Debtor Relief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40" w:top="274" w:right="479" w:bottom="1440" w:gutter="0" w:footer="0" w:header="0"/>
        </w:sectPr>
      </w:pPr>
    </w:p>
    <w:bookmarkStart w:id="82" w:name="page83"/>
    <w:bookmarkEnd w:id="82"/>
    <w:p>
      <w:pPr>
        <w:ind w:left="384" w:hanging="384"/>
        <w:spacing w:after="0"/>
        <w:tabs>
          <w:tab w:leader="none" w:pos="38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Payment and Computation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270" w:lineRule="auto"/>
        <w:tabs>
          <w:tab w:leader="none" w:pos="776"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Interest on (A) each Base Rate Loan and each Canadian Base Rate Loan shall be due and payable in arrears on the last Business Day of each calendar quarter commencing December 31, 2021; (B) each US Swingline Loan and each Canadian Swingline Loan shall be due and payable in arrears on the last Business Day of each calendar quarter commencing December 31, 2021; and (C) each LIBOR Rate Loan and CDOR Rate Loan shall be due and payable on the last day of each Interest Period applicable thereto, and if such Interest Period extends over three (3) months, at the end of each three (3) month interval during such Interest Period. All computations of interest for Base Rate Loans when the Base Rate is determined by the Prime Rate, all computations of interest for Canadian Base Rate Loans and all computations of interest for CDOR Rate Loans shall be made on the basis of a year of 365 or 366 days, as applicable,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72" w:lineRule="exact"/>
        <w:rPr>
          <w:rFonts w:ascii="Arial" w:cs="Arial" w:eastAsia="Arial" w:hAnsi="Arial"/>
          <w:sz w:val="17"/>
          <w:szCs w:val="17"/>
          <w:color w:val="auto"/>
        </w:rPr>
      </w:pPr>
    </w:p>
    <w:p>
      <w:pPr>
        <w:ind w:left="4" w:right="40" w:firstLine="419"/>
        <w:spacing w:after="0" w:line="257" w:lineRule="auto"/>
        <w:tabs>
          <w:tab w:leader="none" w:pos="823" w:val="left"/>
        </w:tabs>
        <w:numPr>
          <w:ilvl w:val="1"/>
          <w:numId w:val="82"/>
        </w:numPr>
        <w:rPr>
          <w:rFonts w:ascii="Arial" w:cs="Arial" w:eastAsia="Arial" w:hAnsi="Arial"/>
          <w:sz w:val="18"/>
          <w:szCs w:val="18"/>
          <w:color w:val="auto"/>
        </w:rPr>
      </w:pPr>
      <w:r>
        <w:rPr>
          <w:rFonts w:ascii="Arial" w:cs="Arial" w:eastAsia="Arial" w:hAnsi="Arial"/>
          <w:sz w:val="18"/>
          <w:szCs w:val="18"/>
          <w:color w:val="auto"/>
        </w:rPr>
        <w:t>Whenever any amount is payable under this Agreement or any other Loan Document by the Canadian Borrowers as interest or as a fee which requires the calculation of an amount using a percentage per annum, each party to this Agreement acknowledges and agrees that such amount shall be calculated as of the date payment is due without application of the “deemed reinvestment principle” or the “effective yield method” (e.g., when interest is calculated and payable monthly, the rate of interest payable per month is 1/12 of the stated rate of interest per annum).</w:t>
      </w:r>
    </w:p>
    <w:p>
      <w:pPr>
        <w:spacing w:after="0" w:line="79" w:lineRule="exact"/>
        <w:rPr>
          <w:rFonts w:ascii="Arial" w:cs="Arial" w:eastAsia="Arial" w:hAnsi="Arial"/>
          <w:sz w:val="18"/>
          <w:szCs w:val="18"/>
          <w:color w:val="auto"/>
        </w:rPr>
      </w:pPr>
    </w:p>
    <w:p>
      <w:pPr>
        <w:ind w:left="4" w:firstLine="419"/>
        <w:spacing w:after="0" w:line="301" w:lineRule="auto"/>
        <w:tabs>
          <w:tab w:leader="none" w:pos="876"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For the purposes of the </w:t>
      </w:r>
      <w:r>
        <w:rPr>
          <w:rFonts w:ascii="Arial" w:cs="Arial" w:eastAsia="Arial" w:hAnsi="Arial"/>
          <w:sz w:val="16"/>
          <w:szCs w:val="16"/>
          <w:i w:val="1"/>
          <w:iCs w:val="1"/>
          <w:color w:val="auto"/>
        </w:rPr>
        <w:t>Interest Act</w:t>
      </w:r>
      <w:r>
        <w:rPr>
          <w:rFonts w:ascii="Arial" w:cs="Arial" w:eastAsia="Arial" w:hAnsi="Arial"/>
          <w:sz w:val="16"/>
          <w:szCs w:val="16"/>
          <w:color w:val="auto"/>
        </w:rPr>
        <w:t xml:space="preserve"> (Canada) and disclosure under such Act, whenever interest to be paid under this Agreement or any other Loan Document is to be calculated on the basis of a year of 365 days or any other period of time that is less than a calendar year, the yearly rate of interest to which the rate determined pursuant to such calculation is equivalent is the rate so determined multiplied by the actual number of days in the calendar year in which the same is to be ascertained and divided by either 365 or such other period of time, as the case may be.</w:t>
      </w:r>
    </w:p>
    <w:p>
      <w:pPr>
        <w:spacing w:after="0" w:line="265" w:lineRule="exact"/>
        <w:rPr>
          <w:rFonts w:ascii="Arial" w:cs="Arial" w:eastAsia="Arial" w:hAnsi="Arial"/>
          <w:sz w:val="16"/>
          <w:szCs w:val="16"/>
          <w:color w:val="auto"/>
        </w:rPr>
      </w:pPr>
    </w:p>
    <w:p>
      <w:pPr>
        <w:ind w:left="384" w:hanging="384"/>
        <w:spacing w:after="0"/>
        <w:tabs>
          <w:tab w:leader="none" w:pos="38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Maximum Rate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19"/>
        <w:spacing w:after="0" w:line="270" w:lineRule="auto"/>
        <w:tabs>
          <w:tab w:leader="none" w:pos="776"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(A) promptly refund to the applicable Borrowers any interest received by the Lenders in excess of the maximum lawful rate or (B) apply such excess to the principal balance of the US Obligations or the Canadian Obligations, as applicable. It is the intent hereof that the Borrowers not pay or contract to pay, and that neither the Administrative Agent nor any Lender receive or contract to receive, directly or indirectly in any manner whatsoever, interest in excess of that which may be paid by the applicable Borrower under Applicable Law.</w:t>
      </w:r>
    </w:p>
    <w:p>
      <w:pPr>
        <w:spacing w:after="0" w:line="72" w:lineRule="exact"/>
        <w:rPr>
          <w:rFonts w:ascii="Arial" w:cs="Arial" w:eastAsia="Arial" w:hAnsi="Arial"/>
          <w:sz w:val="17"/>
          <w:szCs w:val="17"/>
          <w:color w:val="auto"/>
        </w:rPr>
      </w:pPr>
    </w:p>
    <w:p>
      <w:pPr>
        <w:ind w:left="4" w:right="160" w:firstLine="419"/>
        <w:spacing w:after="0" w:line="263" w:lineRule="auto"/>
        <w:tabs>
          <w:tab w:leader="none" w:pos="826"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any provision of this Agreement or of any of the other Loan Documents would obligate the Canadian Borrowers or any other Canadian Credit Party to make any payment of interest or other amount payable to any Lender, in an amount or calculated at a rate which would result in a receipt by such Lender of interest at a criminal rate (as such terms are construed under</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544"/>
          </w:cols>
          <w:pgMar w:left="876" w:top="274" w:right="479" w:bottom="1440" w:gutter="0" w:footer="0" w:header="0"/>
        </w:sectPr>
      </w:pPr>
    </w:p>
    <w:bookmarkStart w:id="83" w:name="page84"/>
    <w:bookmarkEnd w:id="83"/>
    <w:p>
      <w:pPr>
        <w:ind w:left="440"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Criminal Code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 (A) firstly, by reducing the amount or rate of interest required to be paid to such Lender on Canadian Revolving Credit Loans or Canadian Swingline Loans, as applicable, and (B) thereafter, by reducing any fees, commissions, premiums and other amounts required to be paid to such Lender, which would constitute “interest” for purposes of Section 347 of the Criminal Code (Canada). Any amount or rate of interest referred to in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shall be determined in accordance with generally accepted actuarial practices and principles as an effective annual rate of interest over the term that the applicable Canadian Revolving Credit Loan or Canadian Swingline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date set out in clause (a) of the definition of “Revolving Credit Maturity Date” and, in the event of a dispute, a certificate of a Fellow of the Canadian Institute of Actuaries appointed by Administrative Agent shall be conclusive for the purposes of such determination.</w:t>
      </w:r>
    </w:p>
    <w:p>
      <w:pPr>
        <w:spacing w:after="0" w:line="17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Notice and Manner of Conversion or Continuation of Loans</w:t>
      </w:r>
      <w:r>
        <w:rPr>
          <w:rFonts w:ascii="Arial" w:cs="Arial" w:eastAsia="Arial" w:hAnsi="Arial"/>
          <w:sz w:val="18"/>
          <w:szCs w:val="18"/>
          <w:color w:val="auto"/>
        </w:rPr>
        <w:t>. Provided that no Default or Event of Default has occurred and is then continuing:</w:t>
      </w:r>
    </w:p>
    <w:p>
      <w:pPr>
        <w:spacing w:after="0" w:line="170" w:lineRule="exact"/>
        <w:rPr>
          <w:sz w:val="20"/>
          <w:szCs w:val="20"/>
          <w:color w:val="auto"/>
        </w:rPr>
      </w:pPr>
    </w:p>
    <w:p>
      <w:pPr>
        <w:ind w:right="200" w:firstLine="436"/>
        <w:spacing w:after="0" w:line="257" w:lineRule="auto"/>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US Borrowers shall have the option to (a) convert at any time all or any portion of any outstanding Base Rate Loans (other than US Swingline Loans) in a principal amount equal to $3,000,000 or any whole multiple of $500,000 in excess thereof into one or more LIBOR Rate Loans and (b) upon the expiration of any Interest Period, (i) convert all or any part of its outstanding LIBOR Rate Loans in a principal amount equal to $1,000,000 or a whole multiple of $100,000 in excess thereof into Base Rate Loans (other than Swingline Loans) or (ii) continue such LIBOR Rate Loans as LIBOR Rate Loans; and</w:t>
      </w:r>
    </w:p>
    <w:p>
      <w:pPr>
        <w:spacing w:after="0" w:line="187" w:lineRule="exact"/>
        <w:rPr>
          <w:rFonts w:ascii="Arial" w:cs="Arial" w:eastAsia="Arial" w:hAnsi="Arial"/>
          <w:sz w:val="18"/>
          <w:szCs w:val="18"/>
          <w:color w:val="auto"/>
        </w:rPr>
      </w:pPr>
    </w:p>
    <w:p>
      <w:pPr>
        <w:ind w:right="260" w:firstLine="436"/>
        <w:spacing w:after="0" w:line="275" w:lineRule="auto"/>
        <w:tabs>
          <w:tab w:leader="none" w:pos="83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Canadian Borrowers shall have the option to (a) convert at any time all or any portion of any outstanding Canadian Base Rate Loans (other than Canadian Swingline Loans) in a principal amount equal to C$1,000,000 or any whole multiple of C$100,000 in excess thereof into one or more CDOR Rate Loans and (b) upon the expiration of any Interest Period for such CDOR Rate Loans, (i) convert all or any part of its outstanding CDOR Rate Loans in a principal amount equal to C$1,000,000 or a whole multiple of C$100,000 in excess thereof into Canadian Base Rate Loans (other than Canadian Swingline Loans) or (ii) continue such CDOR Rate Loans as CDOR Rate Loans.</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Whenever any Borrower desires to convert or continue Loans as provided above, such Borrower shall give the Administrative Agent irrevocable prior written notice in the form attached as </w:t>
      </w:r>
      <w:r>
        <w:rPr>
          <w:rFonts w:ascii="Arial" w:cs="Arial" w:eastAsia="Arial" w:hAnsi="Arial"/>
          <w:sz w:val="17"/>
          <w:szCs w:val="17"/>
          <w:b w:val="1"/>
          <w:bCs w:val="1"/>
          <w:i w:val="1"/>
          <w:iCs w:val="1"/>
          <w:color w:val="auto"/>
        </w:rPr>
        <w:t>Exhibit E</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Notice of Conversion/Continuation</w:t>
      </w:r>
      <w:r>
        <w:rPr>
          <w:rFonts w:ascii="Arial" w:cs="Arial" w:eastAsia="Arial" w:hAnsi="Arial"/>
          <w:sz w:val="17"/>
          <w:szCs w:val="17"/>
          <w:color w:val="auto"/>
        </w:rPr>
        <w:t>”) not later than 11:00 a.m. three (3) Business Days before (or four (4) Business Days before the day of a proposed conversion to or continuation of CDOR Rate Loans) the day on which a proposed conversion or continuation of such Loan is to be effective specifying (A) the Loans to be converted or continued, and, in the case of any LIBOR Rate Loan or CDOR Rate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LIBOR Rate Loan or CDOR Rate Loan. If the applicable Borrower fails to give a timely Notice of Conversion/Continuation prior to the end of the Interest Period for any LIBOR Rate Loan or CDOR Rate Loan, then the applicable LIBOR Rate Loan or CDOR Rate Loan shall automatically continue as a LIBOR Rate Loan or CDOR Rate Loan (in each case having the same Interest Period as the then expiring Interest Period), as applicable. Any such automatic continuation shall be effective as of the last day of the Interest Period then in effect with respect to the applicable LIBOR Rate Loan or CDOR Rate Loan. If the applicable Borrower requests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4" w:name="page85"/>
    <w:bookmarkEnd w:id="84"/>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to, or continuation of, LIBOR Rate Loans or CDOR Rate Loans, but fails to specify an Interest Period, it will be deemed to have specified an Interest Period of one month in the case of a conversion and an Interest Period that is the same as the then expiring Interest Period in the case of a continuation. Notwithstanding anything to the contrary herein, a Swingline Loan may not be converted to a LIBOR Rate Loan or CDOR Rate Loan. The Administrative Agent shall promptly notify the affected Lenders of such Notice of Conversion/Continuation.</w:t>
      </w:r>
    </w:p>
    <w:p>
      <w:pPr>
        <w:spacing w:after="0" w:line="279"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17" w:lineRule="exact"/>
        <w:rPr>
          <w:sz w:val="20"/>
          <w:szCs w:val="20"/>
          <w:color w:val="auto"/>
        </w:rPr>
      </w:pPr>
    </w:p>
    <w:p>
      <w:pPr>
        <w:ind w:firstLine="436"/>
        <w:spacing w:after="0" w:line="269" w:lineRule="auto"/>
        <w:tabs>
          <w:tab w:leader="none" w:pos="82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Commencing on the Closing Date, subject to </w:t>
      </w:r>
      <w:r>
        <w:rPr>
          <w:rFonts w:ascii="Arial" w:cs="Arial" w:eastAsia="Arial" w:hAnsi="Arial"/>
          <w:sz w:val="17"/>
          <w:szCs w:val="17"/>
          <w:u w:val="single" w:color="auto"/>
          <w:color w:val="auto"/>
        </w:rPr>
        <w:t>Section 5.15(a)(iii)(A)</w:t>
      </w:r>
      <w:r>
        <w:rPr>
          <w:rFonts w:ascii="Arial" w:cs="Arial" w:eastAsia="Arial" w:hAnsi="Arial"/>
          <w:sz w:val="17"/>
          <w:szCs w:val="17"/>
          <w:color w:val="auto"/>
        </w:rPr>
        <w:t>, the US Borrowers shall pay to the Administrative Agent, for the account of the Revolving Credit Lenders, a non-refundable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at a rate per annum equal to the Applicable Margin on the average daily unused portion of the Revolving Credit Commitment of the Revolving Credit Lenders (other than the Defaulting Lenders, if 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December 31, 2021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such Revolving Credit Lenders’ respective Revolving Credit Commitment Percentages.</w:t>
      </w:r>
    </w:p>
    <w:p>
      <w:pPr>
        <w:spacing w:after="0" w:line="185" w:lineRule="exact"/>
        <w:rPr>
          <w:rFonts w:ascii="Arial" w:cs="Arial" w:eastAsia="Arial" w:hAnsi="Arial"/>
          <w:sz w:val="17"/>
          <w:szCs w:val="17"/>
          <w:color w:val="auto"/>
        </w:rPr>
      </w:pPr>
    </w:p>
    <w:p>
      <w:pPr>
        <w:ind w:right="40" w:firstLine="436"/>
        <w:spacing w:after="0" w:line="263" w:lineRule="auto"/>
        <w:tabs>
          <w:tab w:leader="none" w:pos="83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Borrowers shall pay to the Arrangers and the Administrative Agent for their own respective accounts fees in the amounts and at the times specified in any Fee Letter as applicable. The Borrowers shall pay to the Lenders such fees as shall have been separately agreed upon in writing in the amounts and at the times so specified.</w:t>
      </w:r>
    </w:p>
    <w:p>
      <w:pPr>
        <w:spacing w:after="0" w:line="292"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Manner of Payment</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86" w:lineRule="auto"/>
        <w:tabs>
          <w:tab w:leader="none" w:pos="82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Payments made by the Borrowers</w:t>
      </w:r>
      <w:r>
        <w:rPr>
          <w:rFonts w:ascii="Arial" w:cs="Arial" w:eastAsia="Arial" w:hAnsi="Arial"/>
          <w:sz w:val="16"/>
          <w:szCs w:val="16"/>
          <w:color w:val="auto"/>
        </w:rPr>
        <w:t xml:space="preserve">. Each payment by a Borrower on account of the principal of or interest on the Loans or of any fee, commission or other amounts (including the Reimbursement Obligations) payable to the Lenders under this Agreement shall be made not later than 1:00 p.m. on the date specified for payment under this Agreement to the Administrative Agent at the Administrative Agent’s Office for the account of the Lenders entitled to such payment, in immediately available funds and shall be made without any set off, counterclaim or deduction whatsoever. Any payment received after such time but before 2:00 p.m. on such day shall be deemed a payment on such date for the purposes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applicable Swingline Lender shall be made in like manner, but for the account of the applicable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shall be paid to the Administrative Agent for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85" w:name="page86"/>
    <w:bookmarkEnd w:id="85"/>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184" w:lineRule="exact"/>
        <w:rPr>
          <w:sz w:val="20"/>
          <w:szCs w:val="20"/>
          <w:color w:val="auto"/>
        </w:rPr>
      </w:pPr>
    </w:p>
    <w:p>
      <w:pPr>
        <w:ind w:right="240" w:firstLine="436"/>
        <w:spacing w:after="0" w:line="277" w:lineRule="auto"/>
        <w:tabs>
          <w:tab w:leader="none" w:pos="83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the foregoing, if there exists a Defaulting Lender each payment by any Borrower to such Defaulting Lender hereunder shall be applied in accordance with </w:t>
      </w:r>
      <w:r>
        <w:rPr>
          <w:rFonts w:ascii="Arial" w:cs="Arial" w:eastAsia="Arial" w:hAnsi="Arial"/>
          <w:sz w:val="18"/>
          <w:szCs w:val="18"/>
          <w:u w:val="single" w:color="auto"/>
          <w:color w:val="auto"/>
        </w:rPr>
        <w:t>Section 5.15(a)(ii)</w:t>
      </w:r>
      <w:r>
        <w:rPr>
          <w:rFonts w:ascii="Arial" w:cs="Arial" w:eastAsia="Arial" w:hAnsi="Arial"/>
          <w:sz w:val="18"/>
          <w:szCs w:val="18"/>
          <w:color w:val="auto"/>
        </w:rPr>
        <w:t>.</w:t>
      </w:r>
    </w:p>
    <w:p>
      <w:pPr>
        <w:spacing w:after="0" w:line="278"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Evidence of Indebtedness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87" w:lineRule="auto"/>
        <w:tabs>
          <w:tab w:leader="none" w:pos="82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Extensions of Credit</w:t>
      </w:r>
      <w:r>
        <w:rPr>
          <w:rFonts w:ascii="Arial" w:cs="Arial" w:eastAsia="Arial" w:hAnsi="Arial"/>
          <w:sz w:val="16"/>
          <w:szCs w:val="16"/>
          <w:color w:val="auto"/>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applicable Borrowers and their applicable respective Subsidiaries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applicable Borrower shall execute and deliver to such Lender (through the Administrative Agent) a US Revolving Credit Note, Canadian Revolving Credit Note, a US Term Loan Note, a Canadian Term Loan Note, US Swingline Note and/or Canadian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spacing w:after="0" w:line="167" w:lineRule="exact"/>
        <w:rPr>
          <w:rFonts w:ascii="Arial" w:cs="Arial" w:eastAsia="Arial" w:hAnsi="Arial"/>
          <w:sz w:val="16"/>
          <w:szCs w:val="16"/>
          <w:color w:val="auto"/>
        </w:rPr>
      </w:pPr>
    </w:p>
    <w:p>
      <w:pPr>
        <w:ind w:right="60" w:firstLine="436"/>
        <w:spacing w:after="0" w:line="257" w:lineRule="auto"/>
        <w:tabs>
          <w:tab w:leader="none" w:pos="83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8"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58" w:lineRule="exact"/>
        <w:rPr>
          <w:sz w:val="20"/>
          <w:szCs w:val="20"/>
          <w:color w:val="auto"/>
        </w:rPr>
      </w:pPr>
    </w:p>
    <w:p>
      <w:pPr>
        <w:ind w:left="440" w:right="100" w:firstLine="419"/>
        <w:spacing w:after="0" w:line="277" w:lineRule="auto"/>
        <w:tabs>
          <w:tab w:leader="none" w:pos="1213"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4" w:right="479" w:bottom="1440" w:gutter="0" w:footer="0" w:header="0"/>
        </w:sectPr>
      </w:pPr>
    </w:p>
    <w:bookmarkStart w:id="86" w:name="page87"/>
    <w:bookmarkEnd w:id="86"/>
    <w:p>
      <w:pPr>
        <w:ind w:left="444" w:right="80" w:firstLine="419"/>
        <w:spacing w:after="0" w:line="275" w:lineRule="auto"/>
        <w:tabs>
          <w:tab w:leader="none" w:pos="1267"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this paragraph shall not be construed to apply to (A) any payment made by the Borrowers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or (C) any payment obtained by a Lender as consideration for the assignment of or sale of a participation in any of its Loans or participations in Swingline Loans and Letters of Credit to any assignee or participant, other than to any of the Consolidated Companies or their Affiliates (as to which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apply).</w:t>
      </w:r>
    </w:p>
    <w:p>
      <w:pPr>
        <w:spacing w:after="0" w:line="176" w:lineRule="exact"/>
        <w:rPr>
          <w:sz w:val="20"/>
          <w:szCs w:val="20"/>
          <w:color w:val="auto"/>
        </w:rPr>
      </w:pPr>
    </w:p>
    <w:p>
      <w:pPr>
        <w:ind w:left="4" w:right="520"/>
        <w:spacing w:after="0" w:line="286" w:lineRule="auto"/>
        <w:rPr>
          <w:sz w:val="20"/>
          <w:szCs w:val="20"/>
          <w:color w:val="auto"/>
        </w:rPr>
      </w:pPr>
      <w:r>
        <w:rPr>
          <w:rFonts w:ascii="Arial" w:cs="Arial" w:eastAsia="Arial" w:hAnsi="Arial"/>
          <w:sz w:val="17"/>
          <w:szCs w:val="17"/>
          <w:color w:val="auto"/>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273" w:lineRule="exact"/>
        <w:rPr>
          <w:sz w:val="20"/>
          <w:szCs w:val="20"/>
          <w:color w:val="auto"/>
        </w:rPr>
      </w:pPr>
    </w:p>
    <w:p>
      <w:pPr>
        <w:ind w:left="444"/>
        <w:spacing w:after="0"/>
        <w:tabs>
          <w:tab w:leader="none" w:pos="1624"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Administrative Agent’s Clawback</w:t>
      </w:r>
      <w:r>
        <w:rPr>
          <w:rFonts w:ascii="Arial" w:cs="Arial" w:eastAsia="Arial" w:hAnsi="Arial"/>
          <w:sz w:val="16"/>
          <w:szCs w:val="16"/>
          <w:color w:val="auto"/>
        </w:rPr>
        <w:t>.</w:t>
      </w:r>
    </w:p>
    <w:p>
      <w:pPr>
        <w:spacing w:after="0" w:line="117" w:lineRule="exact"/>
        <w:rPr>
          <w:sz w:val="20"/>
          <w:szCs w:val="20"/>
          <w:color w:val="auto"/>
        </w:rPr>
      </w:pPr>
    </w:p>
    <w:p>
      <w:pPr>
        <w:ind w:left="4" w:firstLine="436"/>
        <w:spacing w:after="0" w:line="283" w:lineRule="auto"/>
        <w:tabs>
          <w:tab w:leader="none" w:pos="824"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(i) in the case of Base Rate Loans, not later than 12:00 noon on the date of any proposed borrowing, (ii) in the case of Canadian Revolving Credit Loans, not later than 12:00 noon one (1) Business Day before the date of any proposed borrowing and (iii)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Sections 2.3(b)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 in the case of a payment to be made by such Lender, (1) with respect to any Loan denominated in Dollars, at the greater of (x) the daily average Federal Funds Rate and (y) a rate determined by the Administrative Agent in accordance with banking industry rules on interbank compensation and (2) with respect to any Loan denominated in Canadian Dollars, at the greater of (x)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 and (y) a rate determined by the Administrative Agent in accordance with banking industry rules on interbank compensation and (B) in the case of a payment to be made by such Borrower, (1) with respect to any Loan denominated in Dollars, the Base Rate and</w:t>
      </w:r>
    </w:p>
    <w:p>
      <w:pPr>
        <w:ind w:left="4" w:right="80" w:hanging="4"/>
        <w:spacing w:after="0" w:line="271" w:lineRule="auto"/>
        <w:tabs>
          <w:tab w:leader="none" w:pos="259" w:val="left"/>
        </w:tabs>
        <w:numPr>
          <w:ilvl w:val="0"/>
          <w:numId w:val="91"/>
        </w:numPr>
        <w:rPr>
          <w:rFonts w:ascii="Arial" w:cs="Arial" w:eastAsia="Arial" w:hAnsi="Arial"/>
          <w:sz w:val="17"/>
          <w:szCs w:val="17"/>
          <w:color w:val="auto"/>
        </w:rPr>
      </w:pPr>
      <w:r>
        <w:rPr>
          <w:rFonts w:ascii="Arial" w:cs="Arial" w:eastAsia="Arial" w:hAnsi="Arial"/>
          <w:sz w:val="17"/>
          <w:szCs w:val="17"/>
          <w:color w:val="auto"/>
        </w:rPr>
        <w:t>with respect to any Loan denominated in Canadian Dollars, the Canadian Base Rate. If the applicable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178" w:lineRule="exact"/>
        <w:rPr>
          <w:rFonts w:ascii="Arial" w:cs="Arial" w:eastAsia="Arial" w:hAnsi="Arial"/>
          <w:sz w:val="17"/>
          <w:szCs w:val="17"/>
          <w:color w:val="auto"/>
        </w:rPr>
      </w:pPr>
    </w:p>
    <w:p>
      <w:pPr>
        <w:ind w:left="4" w:right="240" w:firstLine="436"/>
        <w:spacing w:after="0" w:line="277" w:lineRule="auto"/>
        <w:tabs>
          <w:tab w:leader="none" w:pos="83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Payments by the Borrowers; Presumptions by Administrative Agent</w:t>
      </w:r>
      <w:r>
        <w:rPr>
          <w:rFonts w:ascii="Arial" w:cs="Arial" w:eastAsia="Arial" w:hAnsi="Arial"/>
          <w:sz w:val="18"/>
          <w:szCs w:val="18"/>
          <w:color w:val="auto"/>
        </w:rPr>
        <w:t>. Unless the Administrative Agent shall have received notice from the applicable Borrower prior to the date on which</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7" w:name="page88"/>
    <w:bookmarkEnd w:id="8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payment is due to the Administrative Agent for the account of the Lenders, any Issuing Lender or any Swingline Lender hereunder that the applicable Borrower will not make such payment, the Administrative Agent may assume that such Borrower has made such payment on such date in accordance herewith and may, in reliance upon such assumption, distribute to the Lenders, such Issuing Lender or such Swingline Lender, as the case may be, the amount due. In such event, if the applicable Borrower has not in fact made such payment, then each of the Lenders, each Issuing Lender or each Swingline Lender, as the case maybe, severally agrees to repay to the Administrative Agent forthwith on demand the amount so distributed to such Lender, Issuing Lender or Swingline Lender, with interest thereon, for each day from and including the date such amount is distributed to it to but excluding the date of payment to the Administrative Agent, (i) with respect to any Extension of Credit (other than any Canadian Revolving Credit Loan, any Canadian Swingline Loan and, to the extent applicable, any Incremental Term Loan made to the Canadian Borrowers), at the greater of the Federal Funds Rate and a rate determined by the Administrative Agent in accordance with banking industry rules on interbank compensation and (ii) with respect to any Canadian Revolving Credit Loan, any Canadian Swingline Loan and, to the extent applicable, any Incremental Term Loan made to the Canadian Borrowers, at a rate equal to the Administrative Agent’s aggregate marginal cost (including the cost of maintaining any required reserves or deposit insurance and of any fees, penalties, overdraft charges or other costs or expenses incurred by the Administrative Agent as a result of the failure to deliver funds hereunder) of carrying such amount.</w:t>
      </w:r>
    </w:p>
    <w:p>
      <w:pPr>
        <w:spacing w:after="0" w:line="174" w:lineRule="exact"/>
        <w:rPr>
          <w:sz w:val="20"/>
          <w:szCs w:val="20"/>
          <w:color w:val="auto"/>
        </w:rPr>
      </w:pPr>
    </w:p>
    <w:p>
      <w:pPr>
        <w:ind w:firstLine="436"/>
        <w:spacing w:after="0" w:line="255" w:lineRule="auto"/>
        <w:tabs>
          <w:tab w:leader="none" w:pos="8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Nature of Obligations of Lenders Regarding Extensions of Credit</w:t>
      </w:r>
      <w:r>
        <w:rPr>
          <w:rFonts w:ascii="Arial" w:cs="Arial" w:eastAsia="Arial" w:hAnsi="Arial"/>
          <w:sz w:val="18"/>
          <w:szCs w:val="18"/>
          <w:color w:val="auto"/>
        </w:rPr>
        <w:t xml:space="preserve">. The obligations of the Lenders under this Agreement to make the Loans and issue or participate in Letters of Credit and to make payments under this Section, </w:t>
      </w:r>
      <w:r>
        <w:rPr>
          <w:rFonts w:ascii="Arial" w:cs="Arial" w:eastAsia="Arial" w:hAnsi="Arial"/>
          <w:sz w:val="18"/>
          <w:szCs w:val="18"/>
          <w:u w:val="single" w:color="auto"/>
          <w:color w:val="auto"/>
        </w:rPr>
        <w:t>Section 5.11(e)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12.7</w:t>
      </w:r>
      <w:r>
        <w:rPr>
          <w:rFonts w:ascii="Arial" w:cs="Arial" w:eastAsia="Arial" w:hAnsi="Arial"/>
          <w:sz w:val="18"/>
          <w:szCs w:val="18"/>
          <w:color w:val="auto"/>
        </w:rPr>
        <w:t>, as applicable, are several and are not joint or joint and several. The failure of any Lender to make available its Commitment Percentage of any Loan requested by any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spacing w:after="0" w:line="300"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Changed Circumstances</w:t>
      </w:r>
      <w:r>
        <w:rPr>
          <w:rFonts w:ascii="Arial" w:cs="Arial" w:eastAsia="Arial" w:hAnsi="Arial"/>
          <w:sz w:val="16"/>
          <w:szCs w:val="16"/>
          <w:color w:val="auto"/>
        </w:rPr>
        <w:t>.</w:t>
      </w:r>
    </w:p>
    <w:p>
      <w:pPr>
        <w:spacing w:after="0" w:line="117" w:lineRule="exact"/>
        <w:rPr>
          <w:sz w:val="20"/>
          <w:szCs w:val="20"/>
          <w:color w:val="auto"/>
        </w:rPr>
      </w:pPr>
    </w:p>
    <w:p>
      <w:pPr>
        <w:ind w:right="120" w:firstLine="436"/>
        <w:spacing w:after="0" w:line="259" w:lineRule="auto"/>
        <w:tabs>
          <w:tab w:leader="none" w:pos="8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Circumstances Affecting LIBOR Rate or CDOR Rate Availability</w:t>
      </w:r>
      <w:r>
        <w:rPr>
          <w:rFonts w:ascii="Arial" w:cs="Arial" w:eastAsia="Arial" w:hAnsi="Arial"/>
          <w:sz w:val="18"/>
          <w:szCs w:val="18"/>
          <w:color w:val="auto"/>
        </w:rPr>
        <w:t>. Subject to clause (c) below, in connection with any request for (x) a LIBOR Rate Loan (or a Base Rate Loan as to which the interest rate is determined with reference to LIBOR or a conversion to or continuation thereof) or (y) a CDOR Rate Loan (or a Canadian Base Rate Loan as to which the interest rate is determined with reference to the CDOR Rate or a conversion thereof) or otherwise, if for any reason</w:t>
      </w:r>
    </w:p>
    <w:p>
      <w:pPr>
        <w:spacing w:after="0" w:line="78" w:lineRule="exact"/>
        <w:rPr>
          <w:rFonts w:ascii="Arial" w:cs="Arial" w:eastAsia="Arial" w:hAnsi="Arial"/>
          <w:sz w:val="18"/>
          <w:szCs w:val="18"/>
          <w:color w:val="auto"/>
        </w:rPr>
      </w:pPr>
    </w:p>
    <w:p>
      <w:pPr>
        <w:ind w:left="440" w:right="140" w:firstLine="419"/>
        <w:spacing w:after="0" w:line="263" w:lineRule="auto"/>
        <w:tabs>
          <w:tab w:leader="none" w:pos="1213" w:val="left"/>
        </w:tabs>
        <w:numPr>
          <w:ilvl w:val="1"/>
          <w:numId w:val="93"/>
        </w:numPr>
        <w:rPr>
          <w:rFonts w:ascii="Arial" w:cs="Arial" w:eastAsia="Arial" w:hAnsi="Arial"/>
          <w:sz w:val="18"/>
          <w:szCs w:val="18"/>
          <w:color w:val="auto"/>
        </w:rPr>
      </w:pPr>
      <w:r>
        <w:rPr>
          <w:rFonts w:ascii="Arial" w:cs="Arial" w:eastAsia="Arial" w:hAnsi="Arial"/>
          <w:sz w:val="18"/>
          <w:szCs w:val="18"/>
          <w:color w:val="auto"/>
        </w:rPr>
        <w:t>with respect to a proposed LIBOR Rate Loan, the Administrative Agent shall determine (which determination shall be conclusive and binding absent manifest error) that Dollar deposits are not being offered to banks in the London interbank Eurodollar market for the applicable amount and Interest Period of such Loan,</w:t>
      </w:r>
    </w:p>
    <w:p>
      <w:pPr>
        <w:spacing w:after="0" w:line="75" w:lineRule="exact"/>
        <w:rPr>
          <w:rFonts w:ascii="Arial" w:cs="Arial" w:eastAsia="Arial" w:hAnsi="Arial"/>
          <w:sz w:val="18"/>
          <w:szCs w:val="18"/>
          <w:color w:val="auto"/>
        </w:rPr>
      </w:pPr>
    </w:p>
    <w:p>
      <w:pPr>
        <w:ind w:left="440" w:right="80" w:firstLine="419"/>
        <w:spacing w:after="0" w:line="257" w:lineRule="auto"/>
        <w:tabs>
          <w:tab w:leader="none" w:pos="1263"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Administrative Agent shall determine (which determination shall be conclusive and binding absent manifest error) that reasonable and adequate means do not exist for ascertaining (A) the LIBOR Rate for such Interest Period with respect to a proposed LIBOR Rate Loan (or any Base Rate Loan as to which the interest rate is determined with reference to LIBOR) or (B) the CDOR Rate for such Interest Period with respect to a proposed CDOR Rate Loan (or any Canadian Base Rate Loan as to which the interest rate is determined with reference to the CDOR Rate), or</w:t>
      </w:r>
    </w:p>
    <w:p>
      <w:pPr>
        <w:spacing w:after="0" w:line="79" w:lineRule="exact"/>
        <w:rPr>
          <w:rFonts w:ascii="Arial" w:cs="Arial" w:eastAsia="Arial" w:hAnsi="Arial"/>
          <w:sz w:val="18"/>
          <w:szCs w:val="18"/>
          <w:color w:val="auto"/>
        </w:rPr>
      </w:pPr>
    </w:p>
    <w:p>
      <w:pPr>
        <w:jc w:val="both"/>
        <w:ind w:left="440" w:right="280" w:firstLine="419"/>
        <w:spacing w:after="0" w:line="263" w:lineRule="auto"/>
        <w:tabs>
          <w:tab w:leader="none" w:pos="1313"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Required Lenders shall determine (which determination shall be conclusive and binding absent manifest error) that the LIBOR Rate or CDOR Rate, as applicable, does not adequately and fairly reflect the cost to such Lenders of making or maintaining such Loans during such Interest Period,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440" w:top="274" w:right="479" w:bottom="1440" w:gutter="0" w:footer="0" w:header="0"/>
        </w:sectPr>
      </w:pPr>
    </w:p>
    <w:bookmarkStart w:id="88" w:name="page89"/>
    <w:bookmarkEnd w:id="8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then the Administrative Agent shall promptly give notice thereof to Centuri. Thereafter, until the Administrative Agent notifies Centuri that such circumstances no longer exist, the obligation of the Lenders to make LIBOR Rate Loans (or Base Rate Loans as to which the interest rate is determined with reference to LIBOR) or CDOR Rate Loans (or Canadian Base Rate Loans as to which the interest rate is determined with reference to CDOR), as applicable, and the right of any Borrower to convert any Loan to or continue any Loan as a LIBOR Rate Loan (or a Base Rate Loan as to which the interest rate is determined with reference to LIBOR) or a CDOR Rate Loan (or Canadian Base Rate Loan as to which the interest rate is determined with reference to CDOR), as applicable, shall be suspended, and (i) in the case of LIBOR Rate Loans, the applicable Borrower shall either (A) repay in full (or cause to be repaid in full) the then outstanding principal amount of each such LIBOR Rate Loan made to it together with accrued interest thereon (subject to </w:t>
      </w:r>
      <w:r>
        <w:rPr>
          <w:rFonts w:ascii="Arial" w:cs="Arial" w:eastAsia="Arial" w:hAnsi="Arial"/>
          <w:sz w:val="16"/>
          <w:szCs w:val="16"/>
          <w:u w:val="single" w:color="auto"/>
          <w:color w:val="auto"/>
        </w:rPr>
        <w:t>Section 5.1(d)</w:t>
      </w:r>
      <w:r>
        <w:rPr>
          <w:rFonts w:ascii="Arial" w:cs="Arial" w:eastAsia="Arial" w:hAnsi="Arial"/>
          <w:sz w:val="16"/>
          <w:szCs w:val="16"/>
          <w:color w:val="auto"/>
        </w:rPr>
        <w:t>), on the last day of the then current Interest Period applicable to such LIBOR Rate Loan; or (B) convert the then outstanding principal amount of each such LIBOR Rate Loan made to it to a Base Rate Loan as to which the interest rate is not determined by reference to LIBOR as of the last day of such Interest Period; (ii) in the case of Base Rate Loans as to which the interest rate is determined by reference to LIBOR, the US Borrowers shall convert the then outstanding principal amount of each such Loan to a Base Rate Loan as to which the interest rate is not determined by reference to LIBOR as of the last day of such Interest Period; or (iii) in the case of CDOR Rate Loans (or Canadian Base Rate Loans as to which the interest rate is determined by reference to the CDOR Rate), the Canadian Borrowers shall convert the then outstanding principal amount of each such Loan to a Canadian Base Rate Loan as to which the interest rate is not determined by reference to the CDOR Rate.</w:t>
      </w:r>
    </w:p>
    <w:p>
      <w:pPr>
        <w:spacing w:after="0" w:line="171" w:lineRule="exact"/>
        <w:rPr>
          <w:sz w:val="20"/>
          <w:szCs w:val="20"/>
          <w:color w:val="auto"/>
        </w:rPr>
      </w:pPr>
    </w:p>
    <w:p>
      <w:pPr>
        <w:ind w:firstLine="436"/>
        <w:spacing w:after="0" w:line="270" w:lineRule="auto"/>
        <w:tabs>
          <w:tab w:leader="none" w:pos="83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Laws Affecting LIBOR Rate or CDOR Rate Availability</w:t>
      </w:r>
      <w:r>
        <w:rPr>
          <w:rFonts w:ascii="Arial" w:cs="Arial" w:eastAsia="Arial" w:hAnsi="Arial"/>
          <w:sz w:val="17"/>
          <w:szCs w:val="17"/>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(x) any LIBOR Rate Loan (or any Base Rate Loan as to which the interest rate is determined by reference to LIBOR) or (y) any CDOR Rate Loan (or any Canadian Base Rate Loan as to which the interest rate is determined by reference to the CDOR Rate), such Lender shall promptly give notice thereof to the Administrative Agent and the Administrative Agent shall promptly give notice to Centuri and the other Lenders. Thereafter, until the Administrative Agent notifies Centuri that such circumstances no longer exist:</w:t>
      </w:r>
    </w:p>
    <w:p>
      <w:pPr>
        <w:spacing w:after="0" w:line="72" w:lineRule="exact"/>
        <w:rPr>
          <w:rFonts w:ascii="Arial" w:cs="Arial" w:eastAsia="Arial" w:hAnsi="Arial"/>
          <w:sz w:val="17"/>
          <w:szCs w:val="17"/>
          <w:color w:val="auto"/>
        </w:rPr>
      </w:pPr>
    </w:p>
    <w:p>
      <w:pPr>
        <w:ind w:left="440" w:right="100" w:firstLine="419"/>
        <w:spacing w:after="0" w:line="272" w:lineRule="auto"/>
        <w:tabs>
          <w:tab w:leader="none" w:pos="1213"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obligations of the Lenders to make LIBOR Rate Loans (or Base Rate Loans as to which the interest rate is determined by reference to LIBOR) or CDOR Rate Loans (or Canadian Base Rate Loans as to which the interest rate is determined by reference to the CDOR Rate), as applicable, and the right of the Borrowers to convert any Loan to a LIBOR Rate Loan or continue any Loan as a LIBOR Rate Loan (or a Base Rate Loan as to which the interest rate is determined by reference to LIBOR), or to convert any Loan to a CDOR Rate Loan (or any Canadian Base Rate Loan as to which the interest rate is determined by reference to the CDOR Rate), shall be suspended and thereafter the applicable Borrower may select only Base Rate Loans and Canadian Base Rate Loans, as applicable, as to which the interest rate is not determined by reference to LIBOR or CDOR hereunder,</w:t>
      </w:r>
    </w:p>
    <w:p>
      <w:pPr>
        <w:spacing w:after="0" w:line="69" w:lineRule="exact"/>
        <w:rPr>
          <w:rFonts w:ascii="Arial" w:cs="Arial" w:eastAsia="Arial" w:hAnsi="Arial"/>
          <w:sz w:val="17"/>
          <w:szCs w:val="17"/>
          <w:color w:val="auto"/>
        </w:rPr>
      </w:pPr>
    </w:p>
    <w:p>
      <w:pPr>
        <w:ind w:left="440" w:right="600" w:firstLine="419"/>
        <w:spacing w:after="0" w:line="277" w:lineRule="auto"/>
        <w:tabs>
          <w:tab w:leader="none" w:pos="1263"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Base Rate Loans shall cease to be determined by reference to LIBOR and/or all Canadian Base Rate Loans shall cease to be determined by reference to CDOR, as applicable,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9" w:name="page90"/>
    <w:bookmarkEnd w:id="89"/>
    <w:p>
      <w:pPr>
        <w:ind w:left="4" w:right="20" w:firstLine="419"/>
        <w:spacing w:after="0" w:line="273" w:lineRule="auto"/>
        <w:tabs>
          <w:tab w:leader="none" w:pos="876" w:val="left"/>
        </w:tabs>
        <w:numPr>
          <w:ilvl w:val="1"/>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of the Lenders may not lawfully continue to maintain a LIBOR Rate Loan to the end of the then current Interest Period applicable thereto, the applicable Loan shall immediately be converted to a Base Rate Loan as to which the interest rate is not determined by reference to LIBOR for the remainder of such Interest Period. Each Lender agrees to designate a different Lending Office or assign its rights and obligations hereunder to another of its officers, branches or affiliates if such designation or assignment will avoid the need for such notice and will not, in the good faith judgment of such Lender, otherwise be materially disadvantageous to such Lender. Each Borrower hereby agrees to pay all reasonable costs and expenses incurred by such Lender in connection with any such designation or assignment.</w:t>
      </w:r>
    </w:p>
    <w:p>
      <w:pPr>
        <w:spacing w:after="0" w:line="285" w:lineRule="exact"/>
        <w:rPr>
          <w:rFonts w:ascii="Arial" w:cs="Arial" w:eastAsia="Arial" w:hAnsi="Arial"/>
          <w:sz w:val="17"/>
          <w:szCs w:val="17"/>
          <w:color w:val="auto"/>
        </w:rPr>
      </w:pPr>
    </w:p>
    <w:p>
      <w:pPr>
        <w:ind w:left="384" w:hanging="384"/>
        <w:spacing w:after="0"/>
        <w:tabs>
          <w:tab w:leader="none" w:pos="38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Benchmark Replacement Setting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4" w:firstLine="7"/>
        <w:spacing w:after="0" w:line="284" w:lineRule="auto"/>
        <w:tabs>
          <w:tab w:leader="none" w:pos="893" w:val="left"/>
        </w:tabs>
        <w:numPr>
          <w:ilvl w:val="2"/>
          <w:numId w:val="96"/>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xml:space="preserve">. Notwithstanding anything to the contrary herein or in any other Loan Document (and any Hedge Agreement shall be deemed not to be a “Loan Document” for purposes of this </w:t>
      </w:r>
      <w:r>
        <w:rPr>
          <w:rFonts w:ascii="Arial" w:cs="Arial" w:eastAsia="Arial" w:hAnsi="Arial"/>
          <w:sz w:val="16"/>
          <w:szCs w:val="16"/>
          <w:u w:val="single" w:color="auto"/>
          <w:color w:val="auto"/>
        </w:rPr>
        <w:t>Section 5.8(c)</w:t>
      </w:r>
      <w:r>
        <w:rPr>
          <w:rFonts w:ascii="Arial" w:cs="Arial" w:eastAsia="Arial" w:hAnsi="Arial"/>
          <w:sz w:val="16"/>
          <w:szCs w:val="16"/>
          <w:color w:val="auto"/>
        </w:rPr>
        <w: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(a)(1) or (a)(2)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w:t>
      </w:r>
    </w:p>
    <w:p>
      <w:pPr>
        <w:spacing w:after="0" w:line="2" w:lineRule="exact"/>
        <w:rPr>
          <w:rFonts w:ascii="Arial" w:cs="Arial" w:eastAsia="Arial" w:hAnsi="Arial"/>
          <w:sz w:val="16"/>
          <w:szCs w:val="16"/>
          <w:color w:val="auto"/>
        </w:rPr>
      </w:pPr>
    </w:p>
    <w:p>
      <w:pPr>
        <w:ind w:left="804" w:hanging="253"/>
        <w:spacing w:after="0"/>
        <w:tabs>
          <w:tab w:leader="none" w:pos="804" w:val="left"/>
        </w:tabs>
        <w:numPr>
          <w:ilvl w:val="2"/>
          <w:numId w:val="97"/>
        </w:numPr>
        <w:rPr>
          <w:rFonts w:ascii="Arial" w:cs="Arial" w:eastAsia="Arial" w:hAnsi="Arial"/>
          <w:sz w:val="16"/>
          <w:szCs w:val="16"/>
          <w:color w:val="auto"/>
        </w:rPr>
      </w:pPr>
      <w:r>
        <w:rPr>
          <w:rFonts w:ascii="Arial" w:cs="Arial" w:eastAsia="Arial" w:hAnsi="Arial"/>
          <w:sz w:val="16"/>
          <w:szCs w:val="16"/>
          <w:color w:val="auto"/>
        </w:rPr>
        <w:t>if a Benchmark Replacement is determined in accordance with clause (a)(3) of the definition of “Benchmark Replacement” for such</w:t>
      </w:r>
    </w:p>
    <w:p>
      <w:pPr>
        <w:spacing w:after="0" w:line="32" w:lineRule="exact"/>
        <w:rPr>
          <w:rFonts w:ascii="Arial" w:cs="Arial" w:eastAsia="Arial" w:hAnsi="Arial"/>
          <w:sz w:val="16"/>
          <w:szCs w:val="16"/>
          <w:color w:val="auto"/>
        </w:rPr>
      </w:pPr>
    </w:p>
    <w:p>
      <w:pPr>
        <w:ind w:left="544"/>
        <w:spacing w:after="0" w:line="270" w:lineRule="auto"/>
        <w:rPr>
          <w:rFonts w:ascii="Arial" w:cs="Arial" w:eastAsia="Arial" w:hAnsi="Arial"/>
          <w:sz w:val="16"/>
          <w:szCs w:val="16"/>
          <w:color w:val="auto"/>
        </w:rPr>
      </w:pPr>
      <w:r>
        <w:rPr>
          <w:rFonts w:ascii="Arial" w:cs="Arial" w:eastAsia="Arial" w:hAnsi="Arial"/>
          <w:sz w:val="17"/>
          <w:szCs w:val="17"/>
          <w:color w:val="auto"/>
        </w:rPr>
        <w:t>Benchmark Replacement Date, such Benchmark Replacement will replace such Benchmark for all purposes hereunder and under any Loan Document in respect of any Benchmark setting at or after 5:00 p.m. (New York City time) on the fifth (5</w:t>
      </w:r>
      <w:r>
        <w:rPr>
          <w:rFonts w:ascii="Arial" w:cs="Arial" w:eastAsia="Arial" w:hAnsi="Arial"/>
          <w:sz w:val="14"/>
          <w:szCs w:val="14"/>
          <w:color w:val="auto"/>
        </w:rPr>
        <w:t>th</w:t>
      </w:r>
      <w:r>
        <w:rPr>
          <w:rFonts w:ascii="Arial" w:cs="Arial" w:eastAsia="Arial" w:hAnsi="Arial"/>
          <w:sz w:val="17"/>
          <w:szCs w:val="17"/>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an Unadjusted Benchmark Replacement is Daily Simple SOFR, all interest payments will be payable on a monthly basis.</w:t>
      </w:r>
    </w:p>
    <w:p>
      <w:pPr>
        <w:spacing w:after="0" w:line="70" w:lineRule="exact"/>
        <w:rPr>
          <w:rFonts w:ascii="Arial" w:cs="Arial" w:eastAsia="Arial" w:hAnsi="Arial"/>
          <w:sz w:val="16"/>
          <w:szCs w:val="16"/>
          <w:color w:val="auto"/>
        </w:rPr>
      </w:pPr>
    </w:p>
    <w:p>
      <w:pPr>
        <w:ind w:left="544" w:right="40" w:firstLine="408"/>
        <w:spacing w:after="0" w:line="254" w:lineRule="auto"/>
        <w:tabs>
          <w:tab w:leader="none" w:pos="1364" w:val="left"/>
        </w:tabs>
        <w:numPr>
          <w:ilvl w:val="3"/>
          <w:numId w:val="9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(B) shall not be effective unless the Administrative Agent has delivered to the Lenders and the Borrower a Term SOFR Notice. For the avoidance of doubt, the Administrative Agent shall not be required to deliver a Term SOFR Notice after a Term SOFR Transition Event and may elect or not elect to do so in its sole discretion.</w:t>
      </w:r>
    </w:p>
    <w:p>
      <w:pPr>
        <w:spacing w:after="0" w:line="83" w:lineRule="exact"/>
        <w:rPr>
          <w:rFonts w:ascii="Arial" w:cs="Arial" w:eastAsia="Arial" w:hAnsi="Arial"/>
          <w:sz w:val="18"/>
          <w:szCs w:val="18"/>
          <w:color w:val="auto"/>
        </w:rPr>
      </w:pPr>
    </w:p>
    <w:p>
      <w:pPr>
        <w:ind w:left="4" w:right="40" w:firstLine="419"/>
        <w:spacing w:after="0" w:line="279" w:lineRule="auto"/>
        <w:tabs>
          <w:tab w:leader="none" w:pos="826"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0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564"/>
          </w:cols>
          <w:pgMar w:left="876" w:top="274" w:right="459" w:bottom="1440" w:gutter="0" w:footer="0" w:header="0"/>
        </w:sectPr>
      </w:pPr>
    </w:p>
    <w:bookmarkStart w:id="90" w:name="page91"/>
    <w:bookmarkEnd w:id="90"/>
    <w:p>
      <w:pPr>
        <w:ind w:left="864" w:hanging="441"/>
        <w:spacing w:after="0"/>
        <w:tabs>
          <w:tab w:leader="none" w:pos="864"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 Standards for Decisions and Determinations</w:t>
      </w:r>
      <w:r>
        <w:rPr>
          <w:rFonts w:ascii="Arial" w:cs="Arial" w:eastAsia="Arial" w:hAnsi="Arial"/>
          <w:sz w:val="16"/>
          <w:szCs w:val="16"/>
          <w:color w:val="auto"/>
        </w:rPr>
        <w:t>. The Administrative Agent will promptly notify the Borrower and the Lenders of</w:t>
      </w:r>
    </w:p>
    <w:p>
      <w:pPr>
        <w:spacing w:after="0" w:line="46" w:lineRule="exact"/>
        <w:rPr>
          <w:rFonts w:ascii="Arial" w:cs="Arial" w:eastAsia="Arial" w:hAnsi="Arial"/>
          <w:sz w:val="16"/>
          <w:szCs w:val="16"/>
          <w:color w:val="auto"/>
        </w:rPr>
      </w:pPr>
    </w:p>
    <w:p>
      <w:pPr>
        <w:ind w:left="4" w:right="80" w:hanging="4"/>
        <w:spacing w:after="0" w:line="268" w:lineRule="auto"/>
        <w:tabs>
          <w:tab w:leader="none" w:pos="29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any occurrence of a Benchmark Transition Event, a Term SOFR Transition Event or an Early Opt-in Election, as applicable, and its related Benchmark Replacement Date, (B) the implementation of any Benchmark Replacement, (C) the effectiveness of any Benchmark Replacement Conforming Changes, (D) the removal or reinstatement of any tenor of a Benchmark pursuant to </w:t>
      </w:r>
      <w:r>
        <w:rPr>
          <w:rFonts w:ascii="Arial" w:cs="Arial" w:eastAsia="Arial" w:hAnsi="Arial"/>
          <w:sz w:val="17"/>
          <w:szCs w:val="17"/>
          <w:u w:val="single" w:color="auto"/>
          <w:color w:val="auto"/>
        </w:rPr>
        <w:t>Section 5.8(c)(iv)</w:t>
      </w:r>
      <w:r>
        <w:rPr>
          <w:rFonts w:ascii="Arial" w:cs="Arial" w:eastAsia="Arial" w:hAnsi="Arial"/>
          <w:sz w:val="17"/>
          <w:szCs w:val="17"/>
          <w:color w:val="auto"/>
        </w:rPr>
        <w:t xml:space="preserve"> below and (E)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7"/>
          <w:szCs w:val="17"/>
          <w:u w:val="single" w:color="auto"/>
          <w:color w:val="auto"/>
        </w:rPr>
        <w:t>Section 5.8(c)</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made in a manner substantially consistent with determinations being made for similarly situated customers of such Administrative Agent under agreements having provisions similar to this </w:t>
      </w:r>
      <w:r>
        <w:rPr>
          <w:rFonts w:ascii="Arial" w:cs="Arial" w:eastAsia="Arial" w:hAnsi="Arial"/>
          <w:sz w:val="17"/>
          <w:szCs w:val="17"/>
          <w:u w:val="single" w:color="auto"/>
          <w:color w:val="auto"/>
        </w:rPr>
        <w:t>Section 5.8(c)</w:t>
      </w:r>
      <w:r>
        <w:rPr>
          <w:rFonts w:ascii="Arial" w:cs="Arial" w:eastAsia="Arial" w:hAnsi="Arial"/>
          <w:sz w:val="17"/>
          <w:szCs w:val="17"/>
          <w:color w:val="auto"/>
        </w:rPr>
        <w:t xml:space="preserve">) and without consent from any other party to this Agreement or any other Loan Document, except, in each case, as expressly required pursuant to this </w:t>
      </w:r>
      <w:r>
        <w:rPr>
          <w:rFonts w:ascii="Arial" w:cs="Arial" w:eastAsia="Arial" w:hAnsi="Arial"/>
          <w:sz w:val="17"/>
          <w:szCs w:val="17"/>
          <w:u w:val="single" w:color="auto"/>
          <w:color w:val="auto"/>
        </w:rPr>
        <w:t>Section 5.8(c)</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 w:right="20" w:firstLine="419"/>
        <w:spacing w:after="0" w:line="287" w:lineRule="auto"/>
        <w:tabs>
          <w:tab w:leader="none" w:pos="866"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Unavailability of Tenor of Benchmark</w:t>
      </w:r>
      <w:r>
        <w:rPr>
          <w:rFonts w:ascii="Arial" w:cs="Arial" w:eastAsia="Arial" w:hAnsi="Arial"/>
          <w:sz w:val="16"/>
          <w:szCs w:val="16"/>
          <w:color w:val="auto"/>
        </w:rPr>
        <w:t xml:space="preserve">. Notwithstanding anything to the contrary herein or in any other Loan Document, at any time (including in connection with the implementation of a Benchmark Replacement), (A) if the then-current Benchmark is a term rate (including Term SOFR or USD LIBOR) and either (1) any tenor for such Benchmark is not displayed on a screen or other information service that publishes such rate from time to time as selected by the Administrative Agent in its reasonable discretion (and made in a manner substantially consistent with determinations being made for similarly situated customers of such Administrative Agent under agreements having provisions similar to this </w:t>
      </w:r>
      <w:r>
        <w:rPr>
          <w:rFonts w:ascii="Arial" w:cs="Arial" w:eastAsia="Arial" w:hAnsi="Arial"/>
          <w:sz w:val="16"/>
          <w:szCs w:val="16"/>
          <w:u w:val="single" w:color="auto"/>
          <w:color w:val="auto"/>
        </w:rPr>
        <w:t>Section 5.8(c)</w:t>
      </w:r>
      <w:r>
        <w:rPr>
          <w:rFonts w:ascii="Arial" w:cs="Arial" w:eastAsia="Arial" w:hAnsi="Arial"/>
          <w:sz w:val="16"/>
          <w:szCs w:val="16"/>
          <w:color w:val="auto"/>
        </w:rPr>
        <w:t>)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59" w:lineRule="exact"/>
        <w:rPr>
          <w:rFonts w:ascii="Arial" w:cs="Arial" w:eastAsia="Arial" w:hAnsi="Arial"/>
          <w:sz w:val="16"/>
          <w:szCs w:val="16"/>
          <w:color w:val="auto"/>
        </w:rPr>
      </w:pPr>
    </w:p>
    <w:p>
      <w:pPr>
        <w:ind w:left="4" w:right="160" w:firstLine="419"/>
        <w:spacing w:after="0" w:line="273" w:lineRule="auto"/>
        <w:tabs>
          <w:tab w:leader="none" w:pos="816"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Upon Centuri’s receipt of notice of the commencement of a Benchmark Unavailability Period, the applicable Borrower may revoke any request for a borrowing of, conversion to or continuation of LIBOR Rate Loans to be made, converted or continued during any Benchmark Unavailability Period and, failing that, the applicable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69" w:lineRule="exact"/>
        <w:rPr>
          <w:rFonts w:ascii="Arial" w:cs="Arial" w:eastAsia="Arial" w:hAnsi="Arial"/>
          <w:sz w:val="17"/>
          <w:szCs w:val="17"/>
          <w:color w:val="auto"/>
        </w:rPr>
      </w:pPr>
    </w:p>
    <w:p>
      <w:pPr>
        <w:ind w:left="4" w:right="140" w:firstLine="419"/>
        <w:spacing w:after="0" w:line="277" w:lineRule="auto"/>
        <w:tabs>
          <w:tab w:leader="none" w:pos="866"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London Interbank Offered Rate Benchmark Transition Event</w:t>
      </w:r>
      <w:r>
        <w:rPr>
          <w:rFonts w:ascii="Arial" w:cs="Arial" w:eastAsia="Arial" w:hAnsi="Arial"/>
          <w:sz w:val="18"/>
          <w:szCs w:val="18"/>
          <w:color w:val="auto"/>
        </w:rPr>
        <w:t>. On March 5, 2021, the IBA, the administrator of the London interbank offered rate, and the FCA, the regulatory</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64"/>
          </w:cols>
          <w:pgMar w:left="876" w:top="274" w:right="459" w:bottom="1440" w:gutter="0" w:footer="0" w:header="0"/>
        </w:sectPr>
      </w:pPr>
    </w:p>
    <w:bookmarkStart w:id="91" w:name="page92"/>
    <w:bookmarkEnd w:id="91"/>
    <w:p>
      <w:pPr>
        <w:ind w:left="440"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supervisor of the IBA, made the Announcements that the final publication or representativeness date for Dollars for (I) 1-week and 2-month London interbank offered rate tenor settings will be December 31, 2021 and (II) overnight, 1-month, 3-month, 6-month and 12-month London interbank offered rate tenor settings will be June 30, 2023. No successor administrator for the IBA was identified in such Announcements. The parties hereto agree and acknowledge that the Announcements resulted in the occurrence of a Benchmark Transition Event with respect to the London interbank offered rate pursuant to the terms of this Agreement and that any obligation of the Administrative Agent to notify any parties of such Benchmark Transition Event pursuant to clause (iii) of this </w:t>
      </w:r>
      <w:r>
        <w:rPr>
          <w:rFonts w:ascii="Arial" w:cs="Arial" w:eastAsia="Arial" w:hAnsi="Arial"/>
          <w:sz w:val="16"/>
          <w:szCs w:val="16"/>
          <w:u w:val="single" w:color="auto"/>
          <w:color w:val="auto"/>
        </w:rPr>
        <w:t>Section 5.8(c)</w:t>
      </w:r>
      <w:r>
        <w:rPr>
          <w:rFonts w:ascii="Arial" w:cs="Arial" w:eastAsia="Arial" w:hAnsi="Arial"/>
          <w:sz w:val="16"/>
          <w:szCs w:val="16"/>
          <w:color w:val="auto"/>
        </w:rPr>
        <w:t xml:space="preserve"> shall be deemed satisfied.</w:t>
      </w:r>
    </w:p>
    <w:p>
      <w:pPr>
        <w:spacing w:after="0" w:line="164" w:lineRule="exact"/>
        <w:rPr>
          <w:sz w:val="20"/>
          <w:szCs w:val="20"/>
          <w:color w:val="auto"/>
        </w:rPr>
      </w:pPr>
    </w:p>
    <w:p>
      <w:pPr>
        <w:ind w:firstLine="436"/>
        <w:spacing w:after="0" w:line="269" w:lineRule="auto"/>
        <w:tabs>
          <w:tab w:leader="none" w:pos="83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5.12</w:t>
      </w:r>
      <w:r>
        <w:rPr>
          <w:rFonts w:ascii="Arial" w:cs="Arial" w:eastAsia="Arial" w:hAnsi="Arial"/>
          <w:sz w:val="17"/>
          <w:szCs w:val="17"/>
          <w:color w:val="auto"/>
        </w:rPr>
        <w:t>, if, in any applicable jurisdiction, the Administrative Agent, any Issuing Lender or any Lender or its Applicable Designee determines that any Applicable Law has made it unlawful, or that any Governmental Authority has asserted that it is unlawful, for the Administrative Agent, any Issuing Lender, any Lender or any Applicable Designee to (i) perform any of its obligations hereunder or under any other Loan Document, (ii) to fund or maintain its participation in any Loan or (iii) issue, make, maintain, fund or charge interest or fees with respect to any Extension of Credit to any Borrower that is a Foreign Subsidiary such Person shall promptly notify the Administrative Agent, then, upon the Administrative Agent notifying Centuri,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Credit Parties shall, (A) repay that Person’s participation in the Loans or other applicable Obligations on the last day of the Interest Period for each Loan or other Obligation occurring after the Administrative Agent has notified Centuri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82"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Indemnity</w:t>
      </w:r>
      <w:r>
        <w:rPr>
          <w:rFonts w:ascii="Arial" w:cs="Arial" w:eastAsia="Arial" w:hAnsi="Arial"/>
          <w:sz w:val="16"/>
          <w:szCs w:val="16"/>
          <w:color w:val="auto"/>
        </w:rPr>
        <w:t>. Each Borrower hereby indemnifies each of the Lenders against any loss or expense (including any loss or expense arising from the liquidation or reemployment of funds obtained by it to maintain a LIBOR Rate Loan or a CDOR Rate Loan or from fees payable to terminate the deposits from which such funds were obtained) which may arise or be attributable to each Lender’s obtaining, liquidating or employing deposits or other funds acquired to effect, fund or maintain any Loan (a) as a consequence of any failure by such Borrower to make any payment when due of any amount due hereunder in connection with a LIBOR Rate Loan or a CDOR Rate Loan, (b) due to any failure of such Borrower to borrow, continue or convert on a date specified therefor in a Notice of Borrowing or Notice of Conversion/Continuation or (c) due to any payment, prepayment or conversion of any LIBOR Rate Loan or any CDOR Rate Loan on a date other than the last day of the Interest Period therefor. The amount of such loss or expense shall be determined, in the applicable Lender’s sole discretion, based upon the assumption that such Lender funded its Commitment Percentage of the LIBOR Rate Loans in the London interbank market or the CDOR Rate Loans in the Canadian bankers’ acceptance market, as applicable,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 The applicable Borrower shall pay such Lender the amount shown as due on any such certificate within ten (10) days after receipt thereof.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92" w:name="page93"/>
    <w:bookmarkEnd w:id="92"/>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5.10</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117" w:lineRule="exact"/>
        <w:rPr>
          <w:sz w:val="20"/>
          <w:szCs w:val="20"/>
          <w:color w:val="auto"/>
        </w:rPr>
      </w:pPr>
    </w:p>
    <w:p>
      <w:pPr>
        <w:ind w:left="820" w:hanging="384"/>
        <w:spacing w:after="0"/>
        <w:tabs>
          <w:tab w:leader="none" w:pos="8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jc w:val="both"/>
        <w:ind w:left="440" w:right="380" w:firstLine="419"/>
        <w:spacing w:after="0" w:line="263" w:lineRule="auto"/>
        <w:tabs>
          <w:tab w:leader="none" w:pos="121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75" w:lineRule="exact"/>
        <w:rPr>
          <w:rFonts w:ascii="Arial" w:cs="Arial" w:eastAsia="Arial" w:hAnsi="Arial"/>
          <w:sz w:val="18"/>
          <w:szCs w:val="18"/>
          <w:color w:val="auto"/>
        </w:rPr>
      </w:pPr>
    </w:p>
    <w:p>
      <w:pPr>
        <w:ind w:left="440" w:right="140" w:firstLine="419"/>
        <w:spacing w:after="0" w:line="263" w:lineRule="auto"/>
        <w:tabs>
          <w:tab w:leader="none" w:pos="126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75" w:lineRule="exact"/>
        <w:rPr>
          <w:rFonts w:ascii="Arial" w:cs="Arial" w:eastAsia="Arial" w:hAnsi="Arial"/>
          <w:sz w:val="18"/>
          <w:szCs w:val="18"/>
          <w:color w:val="auto"/>
        </w:rPr>
      </w:pPr>
    </w:p>
    <w:p>
      <w:pPr>
        <w:ind w:left="440" w:right="140" w:firstLine="419"/>
        <w:spacing w:after="0" w:line="277" w:lineRule="auto"/>
        <w:tabs>
          <w:tab w:leader="none" w:pos="131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impose on any Lender or any Issuing Lender or the London interbank market any other condition, cost or expense (other than Taxes) affecting this Agreement or Loans made by such Lender or any Letter of Credit or participation therein;</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Borrowers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66" w:lineRule="exact"/>
        <w:rPr>
          <w:sz w:val="20"/>
          <w:szCs w:val="20"/>
          <w:color w:val="auto"/>
        </w:rPr>
      </w:pPr>
    </w:p>
    <w:p>
      <w:pPr>
        <w:ind w:firstLine="436"/>
        <w:spacing w:after="0" w:line="288" w:lineRule="auto"/>
        <w:tabs>
          <w:tab w:leader="none" w:pos="83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upon written request of such Lender or such Issuing Lender the Borrowers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68" w:lineRule="exact"/>
        <w:rPr>
          <w:rFonts w:ascii="Arial" w:cs="Arial" w:eastAsia="Arial" w:hAnsi="Arial"/>
          <w:sz w:val="16"/>
          <w:szCs w:val="16"/>
          <w:color w:val="auto"/>
        </w:rPr>
      </w:pPr>
    </w:p>
    <w:p>
      <w:pPr>
        <w:ind w:right="100" w:firstLine="436"/>
        <w:spacing w:after="0" w:line="257" w:lineRule="auto"/>
        <w:tabs>
          <w:tab w:leader="none" w:pos="8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Borrowers, shall be conclusive absent manifest error. The Borrowers shall pay such Lender or such Issuing Lender or such other Recipient, as the case may be, the amount shown as due on any such certificate within ten (10) days after receipt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3" w:name="page94"/>
    <w:bookmarkEnd w:id="93"/>
    <w:p>
      <w:pPr>
        <w:ind w:right="100" w:firstLine="436"/>
        <w:spacing w:after="0" w:line="254" w:lineRule="auto"/>
        <w:tabs>
          <w:tab w:leader="none" w:pos="83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Delay in Requests</w:t>
      </w:r>
      <w:r>
        <w:rPr>
          <w:rFonts w:ascii="Arial" w:cs="Arial" w:eastAsia="Arial" w:hAnsi="Arial"/>
          <w:sz w:val="18"/>
          <w:szCs w:val="18"/>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Borrowers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300"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left="820" w:hanging="384"/>
        <w:spacing w:after="0"/>
        <w:tabs>
          <w:tab w:leader="none" w:pos="8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5.11</w:t>
      </w:r>
      <w:r>
        <w:rPr>
          <w:rFonts w:ascii="Arial" w:cs="Arial" w:eastAsia="Arial" w:hAnsi="Arial"/>
          <w:sz w:val="16"/>
          <w:szCs w:val="16"/>
          <w:color w:val="auto"/>
        </w:rPr>
        <w:t>, the term “Lender” includes any Issuing Lender and the term “Applicable Law” includes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210" w:lineRule="exact"/>
        <w:rPr>
          <w:rFonts w:ascii="Arial" w:cs="Arial" w:eastAsia="Arial" w:hAnsi="Arial"/>
          <w:sz w:val="16"/>
          <w:szCs w:val="16"/>
          <w:color w:val="auto"/>
        </w:rPr>
      </w:pPr>
    </w:p>
    <w:p>
      <w:pPr>
        <w:ind w:right="40" w:firstLine="436"/>
        <w:spacing w:after="0" w:line="271" w:lineRule="auto"/>
        <w:tabs>
          <w:tab w:leader="none" w:pos="83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8" w:lineRule="exact"/>
        <w:rPr>
          <w:rFonts w:ascii="Arial" w:cs="Arial" w:eastAsia="Arial" w:hAnsi="Arial"/>
          <w:sz w:val="17"/>
          <w:szCs w:val="17"/>
          <w:color w:val="auto"/>
        </w:rPr>
      </w:pPr>
    </w:p>
    <w:p>
      <w:pPr>
        <w:ind w:right="40" w:firstLine="436"/>
        <w:spacing w:after="0" w:line="277" w:lineRule="auto"/>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Credit Parties</w:t>
      </w:r>
      <w:r>
        <w:rPr>
          <w:rFonts w:ascii="Arial" w:cs="Arial" w:eastAsia="Arial" w:hAnsi="Arial"/>
          <w:sz w:val="18"/>
          <w:szCs w:val="18"/>
          <w:color w:val="auto"/>
        </w:rPr>
        <w:t>. The Credit Parties shall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ind w:right="20" w:firstLine="436"/>
        <w:spacing w:after="0" w:line="287" w:lineRule="auto"/>
        <w:tabs>
          <w:tab w:leader="none" w:pos="83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Indemnification by the Credit Parties</w:t>
      </w:r>
      <w:r>
        <w:rPr>
          <w:rFonts w:ascii="Arial" w:cs="Arial" w:eastAsia="Arial" w:hAnsi="Arial"/>
          <w:sz w:val="16"/>
          <w:szCs w:val="16"/>
          <w:color w:val="auto"/>
        </w:rPr>
        <w:t>. With respect to any Indemnified Taxes arising from US Obligations, the US Credit Parties shall jointly and severally indemnify each Recipient, within ten (10) days after written demand therefor, for the full amount of any such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With respect to any Indemnified Taxes arising from Canadian Obligations, the Credit Parties shall jointly and severally indemnify each Recipient, within ten (10) days after written demand therefor, for the full amount of any such Indemnified Taxes (including Indemnified Taxes imposed on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Borrowers by a Recipient (with a copy to the Administrative Agent), or by the Administrative Agent on its own behalf or on behalf of a Recipient, shall be conclusive absent manifest error.</w:t>
      </w:r>
    </w:p>
    <w:p>
      <w:pPr>
        <w:spacing w:after="0" w:line="171" w:lineRule="exact"/>
        <w:rPr>
          <w:rFonts w:ascii="Arial" w:cs="Arial" w:eastAsia="Arial" w:hAnsi="Arial"/>
          <w:sz w:val="16"/>
          <w:szCs w:val="16"/>
          <w:color w:val="auto"/>
        </w:rPr>
      </w:pPr>
    </w:p>
    <w:p>
      <w:pPr>
        <w:ind w:firstLine="436"/>
        <w:spacing w:after="0" w:line="277" w:lineRule="auto"/>
        <w:tabs>
          <w:tab w:leader="none" w:pos="8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ten (10) days after demand therefor, for (i) any Indemnified Taxes attributable to such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94" w:name="page95"/>
    <w:bookmarkEnd w:id="9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Arial" w:cs="Arial" w:eastAsia="Arial" w:hAnsi="Arial"/>
          <w:sz w:val="16"/>
          <w:szCs w:val="16"/>
          <w:u w:val="single" w:color="auto"/>
          <w:color w:val="auto"/>
        </w:rPr>
        <w:t>Section 12.9(d)</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65" w:lineRule="exact"/>
        <w:rPr>
          <w:sz w:val="20"/>
          <w:szCs w:val="20"/>
          <w:color w:val="auto"/>
        </w:rPr>
      </w:pPr>
    </w:p>
    <w:p>
      <w:pPr>
        <w:ind w:right="100" w:firstLine="436"/>
        <w:spacing w:after="0" w:line="259" w:lineRule="auto"/>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any Credit Party to a Governmental Authority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94" w:lineRule="exact"/>
        <w:rPr>
          <w:rFonts w:ascii="Arial" w:cs="Arial" w:eastAsia="Arial" w:hAnsi="Arial"/>
          <w:sz w:val="18"/>
          <w:szCs w:val="18"/>
          <w:color w:val="auto"/>
        </w:rPr>
      </w:pPr>
    </w:p>
    <w:p>
      <w:pPr>
        <w:ind w:left="820" w:hanging="384"/>
        <w:spacing w:after="0"/>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69" w:lineRule="auto"/>
        <w:tabs>
          <w:tab w:leader="none" w:pos="120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Centuri and the Administrative Agent, at the time or times reasonably requested by Centuri or the Administrative Agent, such properly completed and executed documentation reasonably requested by Centuri or the Administrative Agent as will permit such payments to be made without withholding or at a reduced rate of withholding. In addition, any Lender, if reasonably requested by Centuri or the Administrative Agent, shall deliver such other documentation prescribed by Applicable Law or reasonably requested by Centuri or the Administrative Agent as will enable Centuri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5.11(g)(ii)(A)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7" w:lineRule="exact"/>
        <w:rPr>
          <w:rFonts w:ascii="Arial" w:cs="Arial" w:eastAsia="Arial" w:hAnsi="Arial"/>
          <w:sz w:val="17"/>
          <w:szCs w:val="17"/>
          <w:color w:val="auto"/>
        </w:rPr>
      </w:pPr>
    </w:p>
    <w:p>
      <w:pPr>
        <w:ind w:left="1260" w:hanging="401"/>
        <w:spacing w:after="0"/>
        <w:tabs>
          <w:tab w:leader="none" w:pos="12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0" w:right="200" w:firstLine="408"/>
        <w:spacing w:after="0" w:line="259" w:lineRule="auto"/>
        <w:tabs>
          <w:tab w:leader="none" w:pos="1801"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Any Lender that is a U.S. Person shall deliver to Centuri and the Administrative Agent on or prior to the date on which such Lender becomes a Lender under this Agreement (and from time to time thereafter upon the reasonable request of Centuri or the Administrative Agent), executed originals of IRS Form W-9 (or any successor form) certifying that such Lender is exempt from United States federal backup withholding tax;</w:t>
      </w:r>
    </w:p>
    <w:p>
      <w:pPr>
        <w:spacing w:after="0" w:line="78" w:lineRule="exact"/>
        <w:rPr>
          <w:rFonts w:ascii="Arial" w:cs="Arial" w:eastAsia="Arial" w:hAnsi="Arial"/>
          <w:sz w:val="18"/>
          <w:szCs w:val="18"/>
          <w:color w:val="auto"/>
        </w:rPr>
      </w:pPr>
    </w:p>
    <w:p>
      <w:pPr>
        <w:ind w:left="980" w:right="140" w:firstLine="408"/>
        <w:spacing w:after="0" w:line="342" w:lineRule="auto"/>
        <w:tabs>
          <w:tab w:leader="none" w:pos="1801" w:val="left"/>
        </w:tabs>
        <w:numPr>
          <w:ilvl w:val="2"/>
          <w:numId w:val="106"/>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Centuri and the Administrative Agent (in such number of copies as shall be requested by the recipient) on or prior to the date on which such Foreign Lender becomes a Lender</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40"/>
          </w:cols>
          <w:pgMar w:left="440" w:top="274" w:right="519" w:bottom="1440" w:gutter="0" w:footer="0" w:header="0"/>
        </w:sectPr>
      </w:pPr>
    </w:p>
    <w:bookmarkStart w:id="95" w:name="page96"/>
    <w:bookmarkEnd w:id="9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this Agreement (and from time to time thereafter upon the reasonable request of Centuri or the Administrative Agent), whichever of the following is applicable:</w:t>
      </w:r>
    </w:p>
    <w:p>
      <w:pPr>
        <w:spacing w:after="0" w:line="62" w:lineRule="exact"/>
        <w:rPr>
          <w:sz w:val="20"/>
          <w:szCs w:val="20"/>
          <w:color w:val="auto"/>
        </w:rPr>
      </w:pPr>
    </w:p>
    <w:p>
      <w:pPr>
        <w:ind w:left="440" w:right="40" w:firstLine="391"/>
        <w:spacing w:after="0" w:line="254" w:lineRule="auto"/>
        <w:tabs>
          <w:tab w:leader="none" w:pos="1213" w:val="left"/>
        </w:tabs>
        <w:numPr>
          <w:ilvl w:val="2"/>
          <w:numId w:val="107"/>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any successor form) or W-8BEN-E (or any successor form), as applicable, establishing an exemption from, or reduction of, United States federal withholding Tax pursuant to the “interest” article of such tax treaty and (y) with respect to any other applicable payments under any Loan Document, IRS Form W-8BEN (or any successor form) or W-8BEN-E (or any successor form), as applicable, establishing an exemption from, or reduction of, United States federal withholding Tax pursuant to the “business profits” or “other income” article of such tax treaty;</w:t>
      </w:r>
    </w:p>
    <w:p>
      <w:pPr>
        <w:spacing w:after="0" w:line="86" w:lineRule="exact"/>
        <w:rPr>
          <w:rFonts w:ascii="Arial" w:cs="Arial" w:eastAsia="Arial" w:hAnsi="Arial"/>
          <w:sz w:val="18"/>
          <w:szCs w:val="18"/>
          <w:color w:val="auto"/>
        </w:rPr>
      </w:pPr>
    </w:p>
    <w:p>
      <w:pPr>
        <w:ind w:left="1220" w:hanging="389"/>
        <w:spacing w:after="0"/>
        <w:tabs>
          <w:tab w:leader="none" w:pos="122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executed copies of IRS Form W-8ECI (or any successor form);</w:t>
      </w:r>
    </w:p>
    <w:p>
      <w:pPr>
        <w:spacing w:after="0" w:line="117" w:lineRule="exact"/>
        <w:rPr>
          <w:rFonts w:ascii="Arial" w:cs="Arial" w:eastAsia="Arial" w:hAnsi="Arial"/>
          <w:sz w:val="18"/>
          <w:szCs w:val="18"/>
          <w:color w:val="auto"/>
        </w:rPr>
      </w:pPr>
    </w:p>
    <w:p>
      <w:pPr>
        <w:ind w:left="440" w:right="40" w:firstLine="391"/>
        <w:spacing w:after="0" w:line="287" w:lineRule="auto"/>
        <w:tabs>
          <w:tab w:leader="none" w:pos="1213" w:val="left"/>
        </w:tabs>
        <w:numPr>
          <w:ilvl w:val="2"/>
          <w:numId w:val="107"/>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b w:val="1"/>
          <w:bCs w:val="1"/>
          <w:i w:val="1"/>
          <w:iCs w:val="1"/>
          <w:color w:val="auto"/>
        </w:rPr>
        <w:t>Exhibit H-1</w:t>
      </w:r>
      <w:r>
        <w:rPr>
          <w:rFonts w:ascii="Arial" w:cs="Arial" w:eastAsia="Arial" w:hAnsi="Arial"/>
          <w:sz w:val="16"/>
          <w:szCs w:val="16"/>
          <w:color w:val="auto"/>
        </w:rPr>
        <w:t xml:space="preserve"> to the effect that such Foreign Lender is not a “bank” within the meaning of Section 881(c)(3)(A) of the Code, a “10 percent shareholder” of a US Borrower within the meaning of Section 881(c)(3)</w:t>
      </w:r>
    </w:p>
    <w:p>
      <w:pPr>
        <w:spacing w:after="0" w:line="2" w:lineRule="exact"/>
        <w:rPr>
          <w:rFonts w:ascii="Arial" w:cs="Arial" w:eastAsia="Arial" w:hAnsi="Arial"/>
          <w:sz w:val="16"/>
          <w:szCs w:val="16"/>
          <w:color w:val="auto"/>
        </w:rPr>
      </w:pPr>
    </w:p>
    <w:p>
      <w:pPr>
        <w:jc w:val="both"/>
        <w:ind w:left="440" w:right="440" w:firstLine="8"/>
        <w:spacing w:after="0" w:line="255" w:lineRule="auto"/>
        <w:tabs>
          <w:tab w:leader="none" w:pos="72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 (or any successor form) or W-8BEN-E (or any successor form), as applicable; or</w:t>
      </w:r>
    </w:p>
    <w:p>
      <w:pPr>
        <w:spacing w:after="0" w:line="81" w:lineRule="exact"/>
        <w:rPr>
          <w:rFonts w:ascii="Arial" w:cs="Arial" w:eastAsia="Arial" w:hAnsi="Arial"/>
          <w:sz w:val="18"/>
          <w:szCs w:val="18"/>
          <w:color w:val="auto"/>
        </w:rPr>
      </w:pPr>
    </w:p>
    <w:p>
      <w:pPr>
        <w:ind w:left="440" w:firstLine="391"/>
        <w:spacing w:after="0" w:line="254" w:lineRule="auto"/>
        <w:tabs>
          <w:tab w:leader="none" w:pos="121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(or any successor form), accompanied by IRS Form W-8ECI (or any successor form), IRS Form W-8BEN (or any successor form) or W-8BEN-E (or any successor form), a U.S. Tax Compliance Certificate substantially in the form of </w:t>
      </w:r>
      <w:r>
        <w:rPr>
          <w:rFonts w:ascii="Arial" w:cs="Arial" w:eastAsia="Arial" w:hAnsi="Arial"/>
          <w:sz w:val="18"/>
          <w:szCs w:val="18"/>
          <w:b w:val="1"/>
          <w:bCs w:val="1"/>
          <w:i w:val="1"/>
          <w:iCs w:val="1"/>
          <w:color w:val="auto"/>
        </w:rPr>
        <w:t>Exhibit H-2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Exhibit H-3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b w:val="1"/>
          <w:bCs w:val="1"/>
          <w:i w:val="1"/>
          <w:iCs w:val="1"/>
          <w:color w:val="auto"/>
        </w:rPr>
        <w:t>Exhibit H-4</w:t>
      </w:r>
      <w:r>
        <w:rPr>
          <w:rFonts w:ascii="Arial" w:cs="Arial" w:eastAsia="Arial" w:hAnsi="Arial"/>
          <w:sz w:val="18"/>
          <w:szCs w:val="18"/>
          <w:color w:val="auto"/>
        </w:rPr>
        <w:t xml:space="preserve"> on behalf of each such direct and indirect partner;</w:t>
      </w:r>
    </w:p>
    <w:p>
      <w:pPr>
        <w:spacing w:after="0" w:line="86" w:lineRule="exact"/>
        <w:rPr>
          <w:rFonts w:ascii="Arial" w:cs="Arial" w:eastAsia="Arial" w:hAnsi="Arial"/>
          <w:sz w:val="18"/>
          <w:szCs w:val="18"/>
          <w:color w:val="auto"/>
        </w:rPr>
      </w:pPr>
    </w:p>
    <w:p>
      <w:pPr>
        <w:ind w:right="40" w:firstLine="408"/>
        <w:spacing w:after="0" w:line="293" w:lineRule="auto"/>
        <w:tabs>
          <w:tab w:leader="none" w:pos="82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US Borrowers or the Administrative Agent to determine the withholding or deduction required to be made; and</w:t>
      </w:r>
    </w:p>
    <w:p>
      <w:pPr>
        <w:spacing w:after="0" w:line="56" w:lineRule="exact"/>
        <w:rPr>
          <w:rFonts w:ascii="Arial" w:cs="Arial" w:eastAsia="Arial" w:hAnsi="Arial"/>
          <w:sz w:val="16"/>
          <w:szCs w:val="16"/>
          <w:color w:val="auto"/>
        </w:rPr>
      </w:pPr>
    </w:p>
    <w:p>
      <w:pPr>
        <w:ind w:right="140" w:firstLine="408"/>
        <w:spacing w:after="0" w:line="257" w:lineRule="auto"/>
        <w:tabs>
          <w:tab w:leader="none" w:pos="8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Centuri and the Administrative Agent at the time or times prescribed by law and at such time or times reasonably requested by Centuri or the Administrative Agent such documentation prescribed by Applicable Law (including as prescribed by</w:t>
      </w:r>
    </w:p>
    <w:p>
      <w:pPr>
        <w:spacing w:after="0" w:line="12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020"/>
          </w:cols>
          <w:pgMar w:left="1420" w:top="274" w:right="459" w:bottom="1440" w:gutter="0" w:footer="0" w:header="0"/>
        </w:sectPr>
      </w:pPr>
    </w:p>
    <w:bookmarkStart w:id="96" w:name="page97"/>
    <w:bookmarkEnd w:id="96"/>
    <w:p>
      <w:pPr>
        <w:ind w:left="9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1471(b)(3)(C)(i) of the Code) and such additional documentation reasonably requested by Centuri or the Administrative Agent as may be necessary for the US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Each Lender agrees that (x) it shall promptly notify Centuri and the Administrative Agent of any change in circumstances which would modify or render invalid any claimed exemption or reduction to withholding and (y) if any form or certification it previously delivered expires or becomes obsolete or inaccurate in any respect, it shall update such form or certification or promptly notify Centuri and the Administrative Agent in writing of its legal inability to do 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updating or notification is required to be made on account of any Canadian withholding tax if no form or certification has been previously delivered for Canadian withholding tax purposes.</w:t>
      </w:r>
    </w:p>
    <w:p>
      <w:pPr>
        <w:spacing w:after="0" w:line="188" w:lineRule="exact"/>
        <w:rPr>
          <w:sz w:val="20"/>
          <w:szCs w:val="20"/>
          <w:color w:val="auto"/>
        </w:rPr>
      </w:pPr>
    </w:p>
    <w:p>
      <w:pPr>
        <w:ind w:firstLine="436"/>
        <w:spacing w:after="0" w:line="268" w:lineRule="auto"/>
        <w:tabs>
          <w:tab w:leader="none" w:pos="83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5.11</w:t>
      </w:r>
      <w:r>
        <w:rPr>
          <w:rFonts w:ascii="Arial" w:cs="Arial" w:eastAsia="Arial" w:hAnsi="Arial"/>
          <w:sz w:val="17"/>
          <w:szCs w:val="17"/>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6" w:lineRule="exact"/>
        <w:rPr>
          <w:rFonts w:ascii="Arial" w:cs="Arial" w:eastAsia="Arial" w:hAnsi="Arial"/>
          <w:sz w:val="17"/>
          <w:szCs w:val="17"/>
          <w:color w:val="auto"/>
        </w:rPr>
      </w:pPr>
    </w:p>
    <w:p>
      <w:pPr>
        <w:ind w:right="320" w:firstLine="436"/>
        <w:spacing w:after="0" w:line="263" w:lineRule="auto"/>
        <w:tabs>
          <w:tab w:leader="none" w:pos="79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90" w:lineRule="auto"/>
        <w:tabs>
          <w:tab w:leader="none" w:pos="8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requires any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or determines that it is unable to fulfill its obligations hereunder due to illegality pursuant to </w:t>
      </w:r>
      <w:r>
        <w:rPr>
          <w:rFonts w:ascii="Arial" w:cs="Arial" w:eastAsia="Arial" w:hAnsi="Arial"/>
          <w:sz w:val="16"/>
          <w:szCs w:val="16"/>
          <w:u w:val="single" w:color="auto"/>
          <w:color w:val="auto"/>
        </w:rPr>
        <w:t>Section 5.8(d)</w:t>
      </w:r>
      <w:r>
        <w:rPr>
          <w:rFonts w:ascii="Arial" w:cs="Arial" w:eastAsia="Arial" w:hAnsi="Arial"/>
          <w:sz w:val="16"/>
          <w:szCs w:val="16"/>
          <w:color w:val="auto"/>
        </w:rPr>
        <w:t xml:space="preserve">, then such Lender shall, at the request of the Borrowers,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or avoid illegality under </w:t>
      </w:r>
      <w:r>
        <w:rPr>
          <w:rFonts w:ascii="Arial" w:cs="Arial" w:eastAsia="Arial" w:hAnsi="Arial"/>
          <w:sz w:val="16"/>
          <w:szCs w:val="16"/>
          <w:u w:val="single" w:color="auto"/>
          <w:color w:val="auto"/>
        </w:rPr>
        <w:t>Section 5.8(d)</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7" w:name="page98"/>
    <w:bookmarkEnd w:id="97"/>
    <w:p>
      <w:pPr>
        <w:ind w:firstLine="436"/>
        <w:spacing w:after="0" w:line="253" w:lineRule="auto"/>
        <w:tabs>
          <w:tab w:leader="none" w:pos="83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if the Borrowers are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any Lender determines that it is unable to fulfill its obligations hereunder due to illegality pursuant to </w:t>
      </w:r>
      <w:r>
        <w:rPr>
          <w:rFonts w:ascii="Arial" w:cs="Arial" w:eastAsia="Arial" w:hAnsi="Arial"/>
          <w:sz w:val="18"/>
          <w:szCs w:val="18"/>
          <w:u w:val="single" w:color="auto"/>
          <w:color w:val="auto"/>
        </w:rPr>
        <w:t>Section 5.8(d)</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or if any Lender is a Defaulting Lender or a Non-Consenting Lender,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8" w:lineRule="exact"/>
        <w:rPr>
          <w:rFonts w:ascii="Arial" w:cs="Arial" w:eastAsia="Arial" w:hAnsi="Arial"/>
          <w:sz w:val="18"/>
          <w:szCs w:val="18"/>
          <w:color w:val="auto"/>
        </w:rPr>
      </w:pPr>
    </w:p>
    <w:p>
      <w:pPr>
        <w:ind w:left="1200" w:hanging="341"/>
        <w:spacing w:after="0"/>
        <w:tabs>
          <w:tab w:leader="none" w:pos="12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the Borrowers shall have paid to the Administrative Agent the assignment fee (if any) specified in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60" w:firstLine="419"/>
        <w:spacing w:after="0" w:line="259" w:lineRule="auto"/>
        <w:tabs>
          <w:tab w:leader="none" w:pos="126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5.9</w:t>
      </w:r>
      <w:r>
        <w:rPr>
          <w:rFonts w:ascii="Arial" w:cs="Arial" w:eastAsia="Arial" w:hAnsi="Arial"/>
          <w:sz w:val="18"/>
          <w:szCs w:val="18"/>
          <w:color w:val="auto"/>
        </w:rPr>
        <w:t>) from the assignee (to the extent of such outstanding principal and accrued interest and fees) or the Borrowers (in the case of all other amounts);</w:t>
      </w:r>
    </w:p>
    <w:p>
      <w:pPr>
        <w:spacing w:after="0" w:line="78" w:lineRule="exact"/>
        <w:rPr>
          <w:rFonts w:ascii="Arial" w:cs="Arial" w:eastAsia="Arial" w:hAnsi="Arial"/>
          <w:sz w:val="18"/>
          <w:szCs w:val="18"/>
          <w:color w:val="auto"/>
        </w:rPr>
      </w:pPr>
    </w:p>
    <w:p>
      <w:pPr>
        <w:ind w:left="440" w:right="440" w:firstLine="419"/>
        <w:spacing w:after="0" w:line="308" w:lineRule="auto"/>
        <w:tabs>
          <w:tab w:leader="none" w:pos="131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such assignment will result in a reduction in such compensation or payments thereafter;</w:t>
      </w:r>
    </w:p>
    <w:p>
      <w:pPr>
        <w:spacing w:after="0" w:line="38" w:lineRule="exact"/>
        <w:rPr>
          <w:rFonts w:ascii="Arial" w:cs="Arial" w:eastAsia="Arial" w:hAnsi="Arial"/>
          <w:sz w:val="17"/>
          <w:szCs w:val="17"/>
          <w:color w:val="auto"/>
        </w:rPr>
      </w:pPr>
    </w:p>
    <w:p>
      <w:pPr>
        <w:ind w:left="1300" w:hanging="441"/>
        <w:spacing w:after="0"/>
        <w:tabs>
          <w:tab w:leader="none" w:pos="13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 and</w:t>
      </w:r>
    </w:p>
    <w:p>
      <w:pPr>
        <w:spacing w:after="0" w:line="117" w:lineRule="exact"/>
        <w:rPr>
          <w:rFonts w:ascii="Arial" w:cs="Arial" w:eastAsia="Arial" w:hAnsi="Arial"/>
          <w:sz w:val="18"/>
          <w:szCs w:val="18"/>
          <w:color w:val="auto"/>
        </w:rPr>
      </w:pPr>
    </w:p>
    <w:p>
      <w:pPr>
        <w:ind w:left="440" w:right="680" w:firstLine="419"/>
        <w:spacing w:after="0" w:line="277" w:lineRule="auto"/>
        <w:tabs>
          <w:tab w:leader="none" w:pos="125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 the case of any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Each party hereto agrees that (x) an assignment required pursuant to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may be effected pursuant to an Assignment and Assumption executed by Centuri, the Administrative Agent and the assignee and (y) the Lender required to make such assignment need not be a party thereto in order for such assignment to be effective and shall be deemed to have consented to and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or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documents shall be without recourse to or warranty by the parties thereto.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98" w:name="page99"/>
    <w:bookmarkEnd w:id="98"/>
    <w:p>
      <w:pPr>
        <w:ind w:left="444"/>
        <w:spacing w:after="0"/>
        <w:tabs>
          <w:tab w:leader="none" w:pos="1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5.13</w:t>
      </w:r>
      <w:r>
        <w:rPr>
          <w:sz w:val="20"/>
          <w:szCs w:val="20"/>
          <w:color w:val="auto"/>
        </w:rPr>
        <w:tab/>
      </w:r>
      <w:r>
        <w:rPr>
          <w:rFonts w:ascii="Arial" w:cs="Arial" w:eastAsia="Arial" w:hAnsi="Arial"/>
          <w:sz w:val="16"/>
          <w:szCs w:val="16"/>
          <w:u w:val="single" w:color="auto"/>
          <w:color w:val="auto"/>
        </w:rPr>
        <w:t>Incremental Loans</w:t>
      </w:r>
      <w:r>
        <w:rPr>
          <w:rFonts w:ascii="Arial" w:cs="Arial" w:eastAsia="Arial" w:hAnsi="Arial"/>
          <w:sz w:val="16"/>
          <w:szCs w:val="16"/>
          <w:color w:val="auto"/>
        </w:rPr>
        <w:t>.</w:t>
      </w:r>
    </w:p>
    <w:p>
      <w:pPr>
        <w:spacing w:after="0" w:line="117" w:lineRule="exact"/>
        <w:rPr>
          <w:sz w:val="20"/>
          <w:szCs w:val="20"/>
          <w:color w:val="auto"/>
        </w:rPr>
      </w:pPr>
    </w:p>
    <w:p>
      <w:pPr>
        <w:ind w:left="4" w:firstLine="436"/>
        <w:spacing w:after="0" w:line="282" w:lineRule="auto"/>
        <w:tabs>
          <w:tab w:leader="none" w:pos="824"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At any time after the Closing Date, upon written notice to the Administrative Agent, the US Borrowers, or the Canadian Borrowers, as applicable, may, from time to time, request (i) one or more incremental term loans, including a borrowing of an additional term loan, the principal amount of which will be added to the tranche of Term Loan with the latest maturity date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or (ii) one or more increases in the Revolving Credit Commitments (an “</w:t>
      </w:r>
      <w:r>
        <w:rPr>
          <w:rFonts w:ascii="Arial" w:cs="Arial" w:eastAsia="Arial" w:hAnsi="Arial"/>
          <w:sz w:val="16"/>
          <w:szCs w:val="16"/>
          <w:u w:val="single" w:color="auto"/>
          <w:color w:val="auto"/>
        </w:rPr>
        <w:t>Incremental Revolving Credit Facility Increase</w:t>
      </w:r>
      <w:r>
        <w:rPr>
          <w:rFonts w:ascii="Arial" w:cs="Arial" w:eastAsia="Arial" w:hAnsi="Arial"/>
          <w:sz w:val="16"/>
          <w:szCs w:val="16"/>
          <w:color w:val="auto"/>
        </w:rPr>
        <w:t>” and, together with the initial principal amount of the Incremental Term Loans, the “</w:t>
      </w:r>
      <w:r>
        <w:rPr>
          <w:rFonts w:ascii="Arial" w:cs="Arial" w:eastAsia="Arial" w:hAnsi="Arial"/>
          <w:sz w:val="16"/>
          <w:szCs w:val="16"/>
          <w:u w:val="single" w:color="auto"/>
          <w:color w:val="auto"/>
        </w:rPr>
        <w:t>Incremental Increases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principal amount for all such Incremental Increases and Incremental Equivalent Indebtedness incurred after the Closing Date shall not exceed the sum of (1) the greater of $300,000,000 and Consolidated EBITDA as of the most recently ended four consecutive fiscal quarter period for which financial statements and the related Officer’s Compliance Certificate have been delivered pursuant to </w:t>
      </w:r>
      <w:r>
        <w:rPr>
          <w:rFonts w:ascii="Arial" w:cs="Arial" w:eastAsia="Arial" w:hAnsi="Arial"/>
          <w:sz w:val="16"/>
          <w:szCs w:val="16"/>
          <w:u w:val="single" w:color="auto"/>
          <w:color w:val="auto"/>
        </w:rPr>
        <w:t>Sections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8.2(a) plus</w:t>
      </w:r>
      <w:r>
        <w:rPr>
          <w:rFonts w:ascii="Arial" w:cs="Arial" w:eastAsia="Arial" w:hAnsi="Arial"/>
          <w:sz w:val="16"/>
          <w:szCs w:val="16"/>
          <w:color w:val="auto"/>
        </w:rPr>
        <w:t xml:space="preserve"> (2) an amount which, after giving pro forma effect to such Incremental Increase and/or Incremental Equivalent Indebtedness (assuming that the entire Incremental Increase and/or Incremental Equivalent Indebtedness is funded on the effective date thereof and after giving effect to the use of proceeds thereof and any permanent repayment of Indebtedness in connection therewith) pursuant to this clause (2), would not cause the Consolidated Net Leverage Ratio, as of the most recently ended four consecutive fiscal quarter period for which financial statements and the related Officer’s Compliance Certificate have been delivered pursuant to </w:t>
      </w:r>
      <w:r>
        <w:rPr>
          <w:rFonts w:ascii="Arial" w:cs="Arial" w:eastAsia="Arial" w:hAnsi="Arial"/>
          <w:sz w:val="16"/>
          <w:szCs w:val="16"/>
          <w:u w:val="single" w:color="auto"/>
          <w:color w:val="auto"/>
        </w:rPr>
        <w:t>Sections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8.2(a)</w:t>
      </w:r>
      <w:r>
        <w:rPr>
          <w:rFonts w:ascii="Arial" w:cs="Arial" w:eastAsia="Arial" w:hAnsi="Arial"/>
          <w:sz w:val="16"/>
          <w:szCs w:val="16"/>
          <w:color w:val="auto"/>
        </w:rPr>
        <w:t xml:space="preserve"> (or in the case of any Incremental Term Loan, the proceeds of which will finance a substantially concurrent Limited Condition Acquisition, as of the LCA Test Date), to exceed 4.00 to 1.00 (in each case, as demonstrated by Centuri in a written certification to the Administrative Agent), (B) any such request for an increase shall be in a minimum amount of $5,000,000 (or C$5,000,000) for any Incremental Term Loan and $5,000,000 for any Incremental Revolving Credit Facility Increase or, if less, the remaining amount permitted pursuant to the foregoing clause</w:t>
      </w:r>
    </w:p>
    <w:p>
      <w:pPr>
        <w:spacing w:after="0" w:line="11" w:lineRule="exact"/>
        <w:rPr>
          <w:rFonts w:ascii="Arial" w:cs="Arial" w:eastAsia="Arial" w:hAnsi="Arial"/>
          <w:sz w:val="16"/>
          <w:szCs w:val="16"/>
          <w:color w:val="auto"/>
        </w:rPr>
      </w:pPr>
    </w:p>
    <w:p>
      <w:pPr>
        <w:ind w:left="4" w:hanging="4"/>
        <w:spacing w:after="0" w:line="292" w:lineRule="auto"/>
        <w:tabs>
          <w:tab w:leader="none" w:pos="29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and (C) no Lender will be required or otherwise obligated to provide any portion of such Incremental Increase. Incremental Term Loans may be made to the US Borrowers in Dollars or to the Canadian Borrowers in Canadian Dollars. Unless the applicable Borrower otherwise notifies the Administrative Agent, if all or any portion of any Incremental Increases or Incremental Equivalent Indebtedness would be permitted under clause (A)(2) above on the applicable date of incurrence, such Incremental Increases or Incremental Equivalent Indebtedness (or the relevant portion thereof) shall be deemed to have been incurred in reliance on clause (A)(2) above prior to the utilization of any amount available under clause (A)(1) above.</w:t>
      </w:r>
    </w:p>
    <w:p>
      <w:pPr>
        <w:spacing w:after="0" w:line="162" w:lineRule="exact"/>
        <w:rPr>
          <w:rFonts w:ascii="Arial" w:cs="Arial" w:eastAsia="Arial" w:hAnsi="Arial"/>
          <w:sz w:val="16"/>
          <w:szCs w:val="16"/>
          <w:color w:val="auto"/>
        </w:rPr>
      </w:pPr>
    </w:p>
    <w:p>
      <w:pPr>
        <w:ind w:left="4" w:right="40" w:firstLine="436"/>
        <w:spacing w:after="0" w:line="269" w:lineRule="auto"/>
        <w:tabs>
          <w:tab w:leader="none" w:pos="834"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Incremental Lenders</w:t>
      </w:r>
      <w:r>
        <w:rPr>
          <w:rFonts w:ascii="Arial" w:cs="Arial" w:eastAsia="Arial" w:hAnsi="Arial"/>
          <w:sz w:val="17"/>
          <w:szCs w:val="17"/>
          <w:color w:val="auto"/>
        </w:rPr>
        <w:t>. Each notice from the applicable Borrower pursuant to this Section shall set forth the requested amount, currency and proposed terms of the relevant Incremental Increase. Incremental Increases may be provided by any existing Lender or by any other Persons (an “</w:t>
      </w:r>
      <w:r>
        <w:rPr>
          <w:rFonts w:ascii="Arial" w:cs="Arial" w:eastAsia="Arial" w:hAnsi="Arial"/>
          <w:sz w:val="17"/>
          <w:szCs w:val="17"/>
          <w:u w:val="single" w:color="auto"/>
          <w:color w:val="auto"/>
        </w:rPr>
        <w:t>Incremental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each Issuing Lender and/or each Swingline Lender, as applicable, shall have consented (not to be unreasonably withheld, conditioned or delayed) to such Incremental Lender’s providing such Incremental Increases to the extent any such consent would be required under </w:t>
      </w:r>
      <w:r>
        <w:rPr>
          <w:rFonts w:ascii="Arial" w:cs="Arial" w:eastAsia="Arial" w:hAnsi="Arial"/>
          <w:sz w:val="17"/>
          <w:szCs w:val="17"/>
          <w:u w:val="single" w:color="auto"/>
          <w:color w:val="auto"/>
        </w:rPr>
        <w:t>Section 12.9(b)</w:t>
      </w:r>
      <w:r>
        <w:rPr>
          <w:rFonts w:ascii="Arial" w:cs="Arial" w:eastAsia="Arial" w:hAnsi="Arial"/>
          <w:sz w:val="17"/>
          <w:szCs w:val="17"/>
          <w:color w:val="auto"/>
        </w:rPr>
        <w:t xml:space="preserve"> for an assignment of Loans or Revolving Credit Commitments, as applicable, to such Incremental Lender. At the time of sending such notice, the applicable Borrower (in consultation with the Administrative Agent) shall specify the time period within which each Incremental Lender is requested to respond, which shall in no event be less than ten (10) Business Days from the date of delivery of such notice to the proposed Incremental Lenders (or such shorter period as may be approved by the Administrative Agent).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4"/>
          </w:cols>
          <w:pgMar w:left="436" w:top="274" w:right="479" w:bottom="1440" w:gutter="0" w:footer="0" w:header="0"/>
        </w:sectPr>
      </w:pPr>
    </w:p>
    <w:bookmarkStart w:id="99" w:name="page100"/>
    <w:bookmarkEnd w:id="99"/>
    <w:p>
      <w:pPr>
        <w:ind w:left="440"/>
        <w:spacing w:after="0"/>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sz w:val="20"/>
          <w:szCs w:val="20"/>
          <w:color w:val="auto"/>
        </w:rPr>
        <w:tab/>
      </w:r>
      <w:r>
        <w:rPr>
          <w:rFonts w:ascii="Arial" w:cs="Arial" w:eastAsia="Arial" w:hAnsi="Arial"/>
          <w:sz w:val="16"/>
          <w:szCs w:val="16"/>
          <w:u w:val="single" w:color="auto"/>
          <w:color w:val="auto"/>
        </w:rPr>
        <w:t>Increase Effective Date and Allocations</w:t>
      </w:r>
      <w:r>
        <w:rPr>
          <w:rFonts w:ascii="Arial" w:cs="Arial" w:eastAsia="Arial" w:hAnsi="Arial"/>
          <w:sz w:val="16"/>
          <w:szCs w:val="16"/>
          <w:color w:val="auto"/>
        </w:rPr>
        <w:t>. The Administrative Agent and the applicable Borrower shall determine the effective date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and the final allocation of such Incremental Increase (limited in the case of the Incremental Lenders to their own respective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allocations thereof). The Administrative Agent shall promptly notify the applicable Borrower and the Incremental Lenders of the final allocation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Incremental Increases and the Increase Effective Date.</w:t>
      </w:r>
    </w:p>
    <w:p>
      <w:pPr>
        <w:spacing w:after="0" w:line="211" w:lineRule="exact"/>
        <w:rPr>
          <w:sz w:val="20"/>
          <w:szCs w:val="20"/>
          <w:color w:val="auto"/>
        </w:rPr>
      </w:pPr>
    </w:p>
    <w:p>
      <w:pPr>
        <w:ind w:right="220" w:firstLine="436"/>
        <w:spacing w:after="0" w:line="277" w:lineRule="auto"/>
        <w:tabs>
          <w:tab w:leader="none" w:pos="83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Terms of Incremental Increases</w:t>
      </w:r>
      <w:r>
        <w:rPr>
          <w:rFonts w:ascii="Arial" w:cs="Arial" w:eastAsia="Arial" w:hAnsi="Arial"/>
          <w:sz w:val="18"/>
          <w:szCs w:val="18"/>
          <w:color w:val="auto"/>
        </w:rPr>
        <w:t xml:space="preserve">. The terms of each Incremental Increase (which shall be set forth in the relevant Incremental Amendment) shall be determined by the applicable Borrowers and the applicable Incremental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each Incremental Term Loan (the terms of which shall be set forth in the relevant Incremental Amendment):</w:t>
      </w:r>
    </w:p>
    <w:p>
      <w:pPr>
        <w:spacing w:after="0" w:line="117" w:lineRule="exact"/>
        <w:rPr>
          <w:rFonts w:ascii="Arial" w:cs="Arial" w:eastAsia="Arial" w:hAnsi="Arial"/>
          <w:sz w:val="18"/>
          <w:szCs w:val="18"/>
          <w:color w:val="auto"/>
        </w:rPr>
      </w:pPr>
    </w:p>
    <w:p>
      <w:pPr>
        <w:ind w:left="980" w:right="140" w:firstLine="408"/>
        <w:spacing w:after="0" w:line="254" w:lineRule="auto"/>
        <w:tabs>
          <w:tab w:leader="none" w:pos="181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 xml:space="preserve">the maturity of any such Incremental Term Loan shall not be earlier than the then the latest scheduled maturity date of the Loans and Commitments in effect as of the Increase Effective Date and the Weighted Average Life to Maturity of any such Incremental Term Loan shall not be shorter than the remaining Weighted Average Life to Maturity of such latest maturing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restrictions of this clause (A) shall not apply to the extent such Incremental Term Loan constitutes a customary bridge or similar facility that is to be automatically converted or exchanged into notes or other permitted Indebtedness that otherwise would satisfy this clause (A) so long as such conversion or exchange is subject only to conditions customary for similar conversions and exchanges and the applicable Borrower irrevocably agrees at the time of incurrence thereof to take all actions necessary to convert or exchange such Incremental Term Loan);</w:t>
      </w:r>
    </w:p>
    <w:p>
      <w:pPr>
        <w:spacing w:after="0" w:line="83" w:lineRule="exact"/>
        <w:rPr>
          <w:rFonts w:ascii="Arial" w:cs="Arial" w:eastAsia="Arial" w:hAnsi="Arial"/>
          <w:sz w:val="18"/>
          <w:szCs w:val="18"/>
          <w:color w:val="auto"/>
        </w:rPr>
      </w:pPr>
    </w:p>
    <w:p>
      <w:pPr>
        <w:ind w:left="980" w:right="80" w:firstLine="408"/>
        <w:spacing w:after="0" w:line="273" w:lineRule="auto"/>
        <w:tabs>
          <w:tab w:leader="none" w:pos="1801" w:val="left"/>
        </w:tabs>
        <w:numPr>
          <w:ilvl w:val="2"/>
          <w:numId w:val="115"/>
        </w:numPr>
        <w:rPr>
          <w:rFonts w:ascii="Arial" w:cs="Arial" w:eastAsia="Arial" w:hAnsi="Arial"/>
          <w:sz w:val="17"/>
          <w:szCs w:val="17"/>
          <w:color w:val="auto"/>
        </w:rPr>
      </w:pPr>
      <w:r>
        <w:rPr>
          <w:rFonts w:ascii="Arial" w:cs="Arial" w:eastAsia="Arial" w:hAnsi="Arial"/>
          <w:sz w:val="17"/>
          <w:szCs w:val="17"/>
          <w:color w:val="auto"/>
        </w:rPr>
        <w:t xml:space="preserve">the All-In Yield and pricing grid, if applicable, for such Incremental Term Loan shall be determined by the applicable Incremental Lenders and the applicable Borrower on the applicable Increase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All-In Yield in respect of any Incremental Term Loan incurred on or prior to the date that is six (6) months after the Closing Date exceeds the All-In Yield for the Initial Term Loan (as reasonably determined by the Administrative Agent) by more than 0.50%, then the Applicable Margin for the Initial Term Loan shall be increased so that the All-In Yield in respect of such Initial Term Loan is equal to the All-In Yield for such Incremental Term Loan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0.50% (determined at each level of each applicable pricing grid);</w:t>
      </w:r>
    </w:p>
    <w:p>
      <w:pPr>
        <w:spacing w:after="0" w:line="69" w:lineRule="exact"/>
        <w:rPr>
          <w:rFonts w:ascii="Arial" w:cs="Arial" w:eastAsia="Arial" w:hAnsi="Arial"/>
          <w:sz w:val="17"/>
          <w:szCs w:val="17"/>
          <w:color w:val="auto"/>
        </w:rPr>
      </w:pPr>
    </w:p>
    <w:p>
      <w:pPr>
        <w:ind w:left="980" w:firstLine="408"/>
        <w:spacing w:after="0" w:line="259" w:lineRule="auto"/>
        <w:tabs>
          <w:tab w:leader="none" w:pos="1801"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any mandatory prepayment (other than scheduled amortization payments) of each Incremental Term Loan shall be made on a pro rata basis with all then existing Term Loans, except that the applicable Borrower and the Incremental Lenders in respect of such Incremental Term Loan may, in their sole discretion, elect to prepay or receive, as applicable, any prepayments on a less than pro rata basis (but not on a greater than pro rata basis); and</w:t>
      </w:r>
    </w:p>
    <w:p>
      <w:pPr>
        <w:spacing w:after="0" w:line="78" w:lineRule="exact"/>
        <w:rPr>
          <w:rFonts w:ascii="Arial" w:cs="Arial" w:eastAsia="Arial" w:hAnsi="Arial"/>
          <w:sz w:val="18"/>
          <w:szCs w:val="18"/>
          <w:color w:val="auto"/>
        </w:rPr>
      </w:pPr>
    </w:p>
    <w:p>
      <w:pPr>
        <w:ind w:left="980" w:right="120" w:firstLine="408"/>
        <w:spacing w:after="0" w:line="279" w:lineRule="auto"/>
        <w:tabs>
          <w:tab w:leader="none" w:pos="1810" w:val="left"/>
        </w:tabs>
        <w:numPr>
          <w:ilvl w:val="2"/>
          <w:numId w:val="115"/>
        </w:numPr>
        <w:rPr>
          <w:rFonts w:ascii="Arial" w:cs="Arial" w:eastAsia="Arial" w:hAnsi="Arial"/>
          <w:sz w:val="17"/>
          <w:szCs w:val="17"/>
          <w:color w:val="auto"/>
        </w:rPr>
      </w:pPr>
      <w:r>
        <w:rPr>
          <w:rFonts w:ascii="Arial" w:cs="Arial" w:eastAsia="Arial" w:hAnsi="Arial"/>
          <w:sz w:val="17"/>
          <w:szCs w:val="17"/>
          <w:color w:val="auto"/>
        </w:rPr>
        <w:t>except as provided above, all other terms and conditions applicable to any Incremental Term Loan shall be consistent with the terms and conditions of the Initial Term Loan or otherwise reasonably satisfactory to the Administrative Agent and the applicable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other terms and conditions, taken as a whole, shall not be more favorable to the Lenders under any Incremental Term Loans than such other terms and conditions, taken as a whole, under the Initial Term Loans);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00" w:name="page101"/>
    <w:bookmarkEnd w:id="100"/>
    <w:p>
      <w:pPr>
        <w:ind w:left="440" w:right="340" w:firstLine="419"/>
        <w:spacing w:after="0" w:line="277" w:lineRule="auto"/>
        <w:tabs>
          <w:tab w:leader="none" w:pos="1263" w:val="left"/>
        </w:tabs>
        <w:numPr>
          <w:ilvl w:val="1"/>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each Incremental Revolving Credit Facility Increase (the terms of which shall be set forth in the relevant Incremental Amendment):</w:t>
      </w:r>
    </w:p>
    <w:p>
      <w:pPr>
        <w:spacing w:after="0" w:line="62" w:lineRule="exact"/>
        <w:rPr>
          <w:rFonts w:ascii="Arial" w:cs="Arial" w:eastAsia="Arial" w:hAnsi="Arial"/>
          <w:sz w:val="18"/>
          <w:szCs w:val="18"/>
          <w:color w:val="auto"/>
        </w:rPr>
      </w:pPr>
    </w:p>
    <w:p>
      <w:pPr>
        <w:ind w:left="980" w:right="20" w:firstLine="408"/>
        <w:spacing w:after="0" w:line="277" w:lineRule="auto"/>
        <w:tabs>
          <w:tab w:leader="none" w:pos="181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Revolving Credit Loans made with respect to the Incremental Revolving Credit Facility Increase shall mature on the Revolving Credit Maturity Date and shall bear interest at the rate applicable to the Revolving Credit Loans;</w:t>
      </w:r>
    </w:p>
    <w:p>
      <w:pPr>
        <w:spacing w:after="0" w:line="62" w:lineRule="exact"/>
        <w:rPr>
          <w:rFonts w:ascii="Arial" w:cs="Arial" w:eastAsia="Arial" w:hAnsi="Arial"/>
          <w:sz w:val="18"/>
          <w:szCs w:val="18"/>
          <w:color w:val="auto"/>
        </w:rPr>
      </w:pPr>
    </w:p>
    <w:p>
      <w:pPr>
        <w:ind w:left="980" w:firstLine="408"/>
        <w:spacing w:after="0" w:line="254" w:lineRule="auto"/>
        <w:tabs>
          <w:tab w:leader="none" w:pos="1801" w:val="left"/>
        </w:tabs>
        <w:numPr>
          <w:ilvl w:val="2"/>
          <w:numId w:val="116"/>
        </w:numPr>
        <w:rPr>
          <w:rFonts w:ascii="Arial" w:cs="Arial" w:eastAsia="Arial" w:hAnsi="Arial"/>
          <w:sz w:val="18"/>
          <w:szCs w:val="18"/>
          <w:color w:val="auto"/>
        </w:rPr>
      </w:pPr>
      <w:r>
        <w:rPr>
          <w:rFonts w:ascii="Arial" w:cs="Arial" w:eastAsia="Arial" w:hAnsi="Arial"/>
          <w:sz w:val="18"/>
          <w:szCs w:val="18"/>
          <w:color w:val="auto"/>
        </w:rPr>
        <w:t xml:space="preserve">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Incremental Revolving Credit Facility Increase) in accordance with their revised Revolving Credit Commitment Percentages (and the Revolving Credit Lenders (including the Incremental Lenders providing such Incremental Revolving Credit Facility Increase) agree to make all payments and adjustments necessary to effect such reallocation and the applicable Borrower shall pay any and all costs required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in connection with such reallocation as if such reallocation were a repayment); and</w:t>
      </w:r>
    </w:p>
    <w:p>
      <w:pPr>
        <w:spacing w:after="0" w:line="86" w:lineRule="exact"/>
        <w:rPr>
          <w:rFonts w:ascii="Arial" w:cs="Arial" w:eastAsia="Arial" w:hAnsi="Arial"/>
          <w:sz w:val="18"/>
          <w:szCs w:val="18"/>
          <w:color w:val="auto"/>
        </w:rPr>
      </w:pPr>
    </w:p>
    <w:p>
      <w:pPr>
        <w:jc w:val="both"/>
        <w:ind w:left="980" w:right="540" w:firstLine="408"/>
        <w:spacing w:after="0" w:line="311" w:lineRule="auto"/>
        <w:tabs>
          <w:tab w:leader="none" w:pos="1801" w:val="left"/>
        </w:tabs>
        <w:numPr>
          <w:ilvl w:val="2"/>
          <w:numId w:val="116"/>
        </w:numPr>
        <w:rPr>
          <w:rFonts w:ascii="Arial" w:cs="Arial" w:eastAsia="Arial" w:hAnsi="Arial"/>
          <w:sz w:val="16"/>
          <w:szCs w:val="16"/>
          <w:color w:val="auto"/>
        </w:rPr>
      </w:pPr>
      <w:r>
        <w:rPr>
          <w:rFonts w:ascii="Arial" w:cs="Arial" w:eastAsia="Arial" w:hAnsi="Arial"/>
          <w:sz w:val="16"/>
          <w:szCs w:val="16"/>
          <w:color w:val="auto"/>
        </w:rPr>
        <w:t xml:space="preserve">except as provided above, all of the other terms and conditions applicable to such Incremental Revolving Credit Facility Increase shall, except to the extent otherwise provided in this </w:t>
      </w:r>
      <w:r>
        <w:rPr>
          <w:rFonts w:ascii="Arial" w:cs="Arial" w:eastAsia="Arial" w:hAnsi="Arial"/>
          <w:sz w:val="16"/>
          <w:szCs w:val="16"/>
          <w:u w:val="single" w:color="auto"/>
          <w:color w:val="auto"/>
        </w:rPr>
        <w:t>Section 5.13</w:t>
      </w:r>
      <w:r>
        <w:rPr>
          <w:rFonts w:ascii="Arial" w:cs="Arial" w:eastAsia="Arial" w:hAnsi="Arial"/>
          <w:sz w:val="16"/>
          <w:szCs w:val="16"/>
          <w:color w:val="auto"/>
        </w:rPr>
        <w:t>, be identical to the terms and conditions applicable to the Revolving Credit Facility, including the Applicable Margin and unused fees (but may have different upfront fees);</w:t>
      </w:r>
    </w:p>
    <w:p>
      <w:pPr>
        <w:spacing w:after="0" w:line="40" w:lineRule="exact"/>
        <w:rPr>
          <w:rFonts w:ascii="Arial" w:cs="Arial" w:eastAsia="Arial" w:hAnsi="Arial"/>
          <w:sz w:val="16"/>
          <w:szCs w:val="16"/>
          <w:color w:val="auto"/>
        </w:rPr>
      </w:pPr>
    </w:p>
    <w:p>
      <w:pPr>
        <w:ind w:left="440" w:right="160" w:firstLine="419"/>
        <w:spacing w:after="0" w:line="308" w:lineRule="auto"/>
        <w:tabs>
          <w:tab w:leader="none" w:pos="131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each Incremental Increase shall constitute US Obligations of the US Borrowers or Canadian Obligations of the Canadian Borrowers, as applicable, and shall be secured and guaranteed with the other Extensions of Credit on a pari passu basis; and</w:t>
      </w:r>
    </w:p>
    <w:p>
      <w:pPr>
        <w:spacing w:after="0" w:line="38" w:lineRule="exact"/>
        <w:rPr>
          <w:rFonts w:ascii="Arial" w:cs="Arial" w:eastAsia="Arial" w:hAnsi="Arial"/>
          <w:sz w:val="17"/>
          <w:szCs w:val="17"/>
          <w:color w:val="auto"/>
        </w:rPr>
      </w:pPr>
    </w:p>
    <w:p>
      <w:pPr>
        <w:ind w:left="440" w:right="120" w:firstLine="419"/>
        <w:spacing w:after="0" w:line="311" w:lineRule="auto"/>
        <w:tabs>
          <w:tab w:leader="none" w:pos="130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Incremental Lender with an Incremental Revolving Credit Facility Increase shall be entitled to the same voting rights as the existing Revolving Credit Lenders under the Revolving Credit Facility and any Extensions of Credit made in connection with each Incremental Revolving Credit Facility Increase shall receive proceeds of prepayments on the same basis as the other Revolving Credit Loans made hereunder.</w:t>
      </w:r>
    </w:p>
    <w:p>
      <w:pPr>
        <w:spacing w:after="0" w:line="148" w:lineRule="exact"/>
        <w:rPr>
          <w:rFonts w:ascii="Arial" w:cs="Arial" w:eastAsia="Arial" w:hAnsi="Arial"/>
          <w:sz w:val="16"/>
          <w:szCs w:val="16"/>
          <w:color w:val="auto"/>
        </w:rPr>
      </w:pPr>
    </w:p>
    <w:p>
      <w:pPr>
        <w:ind w:right="300" w:firstLine="436"/>
        <w:spacing w:after="0" w:line="263" w:lineRule="auto"/>
        <w:tabs>
          <w:tab w:leader="none" w:pos="8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Incremental Increases</w:t>
      </w:r>
      <w:r>
        <w:rPr>
          <w:rFonts w:ascii="Arial" w:cs="Arial" w:eastAsia="Arial" w:hAnsi="Arial"/>
          <w:sz w:val="18"/>
          <w:szCs w:val="18"/>
          <w:color w:val="auto"/>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Acquisition, shall be 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600" w:firstLine="419"/>
        <w:spacing w:after="0" w:line="277" w:lineRule="auto"/>
        <w:tabs>
          <w:tab w:leader="none" w:pos="121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 Default or Event of Default shall exist on such Increase Effective Date immediately prior to or after giving effect to (A) such Incremental Increase or (B) the making of any Extensions of Credit pursuant thereto;</w:t>
      </w:r>
    </w:p>
    <w:p>
      <w:pPr>
        <w:spacing w:after="0" w:line="62" w:lineRule="exact"/>
        <w:rPr>
          <w:rFonts w:ascii="Arial" w:cs="Arial" w:eastAsia="Arial" w:hAnsi="Arial"/>
          <w:sz w:val="18"/>
          <w:szCs w:val="18"/>
          <w:color w:val="auto"/>
        </w:rPr>
      </w:pPr>
    </w:p>
    <w:p>
      <w:pPr>
        <w:ind w:left="440" w:right="140" w:firstLine="419"/>
        <w:spacing w:after="0" w:line="263" w:lineRule="auto"/>
        <w:tabs>
          <w:tab w:leader="none" w:pos="126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all of the representations and warranties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be true and correct in all material respects (or if qualified by materiality or Material Adverse Effect, in all respects) as of such Increase Effective Date, or if such representation speaks as of an earlier date, as of such earlier date;</w:t>
      </w:r>
    </w:p>
    <w:p>
      <w:pPr>
        <w:spacing w:after="0" w:line="75" w:lineRule="exact"/>
        <w:rPr>
          <w:rFonts w:ascii="Arial" w:cs="Arial" w:eastAsia="Arial" w:hAnsi="Arial"/>
          <w:sz w:val="18"/>
          <w:szCs w:val="18"/>
          <w:color w:val="auto"/>
        </w:rPr>
      </w:pPr>
    </w:p>
    <w:p>
      <w:pPr>
        <w:ind w:left="440" w:right="140" w:firstLine="419"/>
        <w:spacing w:after="0" w:line="296" w:lineRule="auto"/>
        <w:tabs>
          <w:tab w:leader="none" w:pos="131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from Centuri, an Officer’s Compliance Certificate demonstrating that the Consolidated Companies are in pro forma compliance with the financial covenants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(based on the financial statements most recently delivered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after giving effect to such Incremental Increase (assuming that the entire applicable Incremental Term Loan and/or Incremental Revolving Credit Facility Increase is fully funded on the effective date thereof) and any Permitted Acquisition, refinancing of Indebtedness or other event consummated in connection therewith giving rise to a Pro Forma Basis adjustment;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101" w:name="page102"/>
    <w:bookmarkEnd w:id="101"/>
    <w:p>
      <w:pPr>
        <w:ind w:left="440" w:right="460" w:firstLine="419"/>
        <w:spacing w:after="0" w:line="277" w:lineRule="auto"/>
        <w:tabs>
          <w:tab w:leader="none" w:pos="1303" w:val="left"/>
        </w:tabs>
        <w:numPr>
          <w:ilvl w:val="1"/>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Credit Parties shall have executed an Incremental Amendment in form and substance reasonably acceptable to the applicable Borrower and the applicable Incremental Lenders; and</w:t>
      </w:r>
    </w:p>
    <w:p>
      <w:pPr>
        <w:spacing w:after="0" w:line="62" w:lineRule="exact"/>
        <w:rPr>
          <w:rFonts w:ascii="Arial" w:cs="Arial" w:eastAsia="Arial" w:hAnsi="Arial"/>
          <w:sz w:val="18"/>
          <w:szCs w:val="18"/>
          <w:color w:val="auto"/>
        </w:rPr>
      </w:pPr>
    </w:p>
    <w:p>
      <w:pPr>
        <w:ind w:left="440" w:right="220" w:firstLine="419"/>
        <w:spacing w:after="0" w:line="286" w:lineRule="auto"/>
        <w:tabs>
          <w:tab w:leader="none" w:pos="1253"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Administrative Agent shall have received from the applicable Borrower, any customary legal opinions or other documents (including a resolution duly adopted by the board of directors (or equivalent governing body) of each Credit Party authorizing such Incremental Increase), and other documents reasonably requested by Administrative Agent in connection with such Incremental Increase.</w:t>
      </w:r>
    </w:p>
    <w:p>
      <w:pPr>
        <w:spacing w:after="0" w:line="165" w:lineRule="exact"/>
        <w:rPr>
          <w:rFonts w:ascii="Arial" w:cs="Arial" w:eastAsia="Arial" w:hAnsi="Arial"/>
          <w:sz w:val="17"/>
          <w:szCs w:val="17"/>
          <w:color w:val="auto"/>
        </w:rPr>
      </w:pPr>
    </w:p>
    <w:p>
      <w:pPr>
        <w:ind w:right="60" w:firstLine="436"/>
        <w:spacing w:after="0" w:line="301" w:lineRule="auto"/>
        <w:tabs>
          <w:tab w:leader="none" w:pos="80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Incremental Amendments</w:t>
      </w:r>
      <w:r>
        <w:rPr>
          <w:rFonts w:ascii="Arial" w:cs="Arial" w:eastAsia="Arial" w:hAnsi="Arial"/>
          <w:sz w:val="16"/>
          <w:szCs w:val="16"/>
          <w:color w:val="auto"/>
        </w:rPr>
        <w:t>. Each such Incremental Increase shall be effected pursuant to an amendment (an “</w:t>
      </w:r>
      <w:r>
        <w:rPr>
          <w:rFonts w:ascii="Arial" w:cs="Arial" w:eastAsia="Arial" w:hAnsi="Arial"/>
          <w:sz w:val="16"/>
          <w:szCs w:val="16"/>
          <w:u w:val="single" w:color="auto"/>
          <w:color w:val="auto"/>
        </w:rPr>
        <w:t>Incremental Amendment</w:t>
      </w:r>
      <w:r>
        <w:rPr>
          <w:rFonts w:ascii="Arial" w:cs="Arial" w:eastAsia="Arial" w:hAnsi="Arial"/>
          <w:sz w:val="16"/>
          <w:szCs w:val="16"/>
          <w:color w:val="auto"/>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Arial" w:cs="Arial" w:eastAsia="Arial" w:hAnsi="Arial"/>
          <w:sz w:val="16"/>
          <w:szCs w:val="16"/>
          <w:u w:val="single" w:color="auto"/>
          <w:color w:val="auto"/>
        </w:rPr>
        <w:t>Section 5.13</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820" w:hanging="384"/>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within one Business Day following the written request of the Administrative Agent, any Issuing Lender (with a copy to the Administrative Agent) or any Swingline Lender (with a copy to the Administrative Agent), the Borrowers shall Cash Collateralize the Fronting Exposure of such Issuing Lender and/or such Swingline Lender, as applicable, with respect to such Defaulting Lender (determined after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188" w:lineRule="exact"/>
        <w:rPr>
          <w:sz w:val="20"/>
          <w:szCs w:val="20"/>
          <w:color w:val="auto"/>
        </w:rPr>
      </w:pPr>
    </w:p>
    <w:p>
      <w:pPr>
        <w:ind w:firstLine="436"/>
        <w:spacing w:after="0" w:line="271" w:lineRule="auto"/>
        <w:tabs>
          <w:tab w:leader="none" w:pos="82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Each Borrower, and to the extent provided by any Defaulting Lender, such Defaulting Lender, hereby grants to the Administrative Agent, for the benefit of each Issuing Lender and each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each Swingline Lender as herein provided (other than Permitted Liens in favor of a depository bank),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78" w:lineRule="exact"/>
        <w:rPr>
          <w:rFonts w:ascii="Arial" w:cs="Arial" w:eastAsia="Arial" w:hAnsi="Arial"/>
          <w:sz w:val="17"/>
          <w:szCs w:val="17"/>
          <w:color w:val="auto"/>
        </w:rPr>
      </w:pPr>
    </w:p>
    <w:p>
      <w:pPr>
        <w:ind w:right="20" w:firstLine="436"/>
        <w:spacing w:after="0" w:line="257" w:lineRule="auto"/>
        <w:tabs>
          <w:tab w:leader="none" w:pos="83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or any other Loan Document, Cash Collateral provided under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02" w:name="page103"/>
    <w:bookmarkEnd w:id="102"/>
    <w:p>
      <w:pPr>
        <w:ind w:left="4" w:right="240" w:firstLine="436"/>
        <w:spacing w:after="0" w:line="291" w:lineRule="auto"/>
        <w:tabs>
          <w:tab w:leader="none" w:pos="824"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Requirement</w:t>
      </w:r>
      <w:r>
        <w:rPr>
          <w:rFonts w:ascii="Arial" w:cs="Arial" w:eastAsia="Arial" w:hAnsi="Arial"/>
          <w:sz w:val="16"/>
          <w:szCs w:val="16"/>
          <w:color w:val="auto"/>
        </w:rPr>
        <w:t xml:space="preserve">. Cash Collateral (or the appropriate portion thereof) provided to reduce the Fronting Exposure of any Issuing Lender and/or any Swingline Lender, as applicable, shall no longer be required to be held as Cash Collateral pursuant to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following</w:t>
      </w:r>
    </w:p>
    <w:p>
      <w:pPr>
        <w:ind w:left="4" w:right="260" w:hanging="4"/>
        <w:spacing w:after="0" w:line="253" w:lineRule="auto"/>
        <w:tabs>
          <w:tab w:leader="none" w:pos="2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elimination of the applicable Fronting Exposure (including by the termination of Defaulting Lender status of the applicable Lender), or (ii) the determination by the Administrative Agent, the Issuing Lenders and the Swingline Lenders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5.15</w:t>
      </w:r>
      <w:r>
        <w:rPr>
          <w:rFonts w:ascii="Arial" w:cs="Arial" w:eastAsia="Arial" w:hAnsi="Arial"/>
          <w:sz w:val="18"/>
          <w:szCs w:val="18"/>
          <w:color w:val="auto"/>
        </w:rPr>
        <w:t>, the Person providing Cash Collateral, the Issuing Lenders and the Swingline Lenders may agree that Cash Collateral shall be held to support future anticipated Fronting Exposure or other obligations.</w:t>
      </w:r>
    </w:p>
    <w:p>
      <w:pPr>
        <w:spacing w:after="0" w:line="301"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117" w:lineRule="exact"/>
        <w:rPr>
          <w:sz w:val="20"/>
          <w:szCs w:val="20"/>
          <w:color w:val="auto"/>
        </w:rPr>
      </w:pPr>
    </w:p>
    <w:p>
      <w:pPr>
        <w:ind w:left="4" w:right="80" w:firstLine="436"/>
        <w:spacing w:after="0" w:line="277" w:lineRule="auto"/>
        <w:tabs>
          <w:tab w:leader="none" w:pos="82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62" w:lineRule="exact"/>
        <w:rPr>
          <w:rFonts w:ascii="Arial" w:cs="Arial" w:eastAsia="Arial" w:hAnsi="Arial"/>
          <w:sz w:val="18"/>
          <w:szCs w:val="18"/>
          <w:color w:val="auto"/>
        </w:rPr>
      </w:pPr>
    </w:p>
    <w:p>
      <w:pPr>
        <w:ind w:left="444" w:right="40" w:firstLine="419"/>
        <w:spacing w:after="0" w:line="263" w:lineRule="auto"/>
        <w:tabs>
          <w:tab w:leader="none" w:pos="1217"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definitions of “Required Lenders”, “Required Revolving Credit Lenders” or “Required Term Loan Lenders” and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4" w:firstLine="419"/>
        <w:spacing w:after="0" w:line="282" w:lineRule="auto"/>
        <w:tabs>
          <w:tab w:leader="none" w:pos="1267"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basis of any amounts owing by such Defaulting Lender to the Issuing Lenders or the Swingline Lenders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Fronting Exposure of the Issuing Lenders and the Swingline Lenders with respect to such Defaulting Lender in accordance with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Borrowers, to be held in a deposit account and released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 under this Agreement, in accordance with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Issuing Lenders or the Swingline Lenders as a result of any judgment of a court of competent jurisdiction obtained by any Lender, any Issuing Lender or any Swingline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(1) such payment is a payment of the principal amount of any Loans or funded participations in Letters of Credit or Swingline Loans in respect of which such Defaulting Lender has not fully funded its appropriate share, and</w:t>
      </w:r>
    </w:p>
    <w:p>
      <w:pPr>
        <w:spacing w:after="0" w:line="10" w:lineRule="exact"/>
        <w:rPr>
          <w:rFonts w:ascii="Arial" w:cs="Arial" w:eastAsia="Arial" w:hAnsi="Arial"/>
          <w:sz w:val="16"/>
          <w:szCs w:val="16"/>
          <w:color w:val="auto"/>
        </w:rPr>
      </w:pPr>
    </w:p>
    <w:p>
      <w:pPr>
        <w:ind w:left="444" w:right="24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(2) such Loans were made or the related Letters of Credit or Swingline Loans were issued at a time when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were satisfied or waived, such payment shall be applied solely to pay the Loans of, and funded participations in</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4"/>
          </w:cols>
          <w:pgMar w:left="436" w:top="274" w:right="479" w:bottom="1440" w:gutter="0" w:footer="0" w:header="0"/>
        </w:sectPr>
      </w:pPr>
    </w:p>
    <w:bookmarkStart w:id="103" w:name="page104"/>
    <w:bookmarkEnd w:id="103"/>
    <w:p>
      <w:pPr>
        <w:ind w:left="4"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Letters of Credit or Swingline Loans owed to, all Non-Defaulting Lenders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 Revolving Credit Commitments under the applicable Revolving Credit Facility without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5.15(a)(ii)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303" w:lineRule="exact"/>
        <w:rPr>
          <w:sz w:val="20"/>
          <w:szCs w:val="20"/>
          <w:color w:val="auto"/>
        </w:rPr>
      </w:pPr>
    </w:p>
    <w:p>
      <w:pPr>
        <w:ind w:left="864" w:hanging="441"/>
        <w:spacing w:after="0"/>
        <w:tabs>
          <w:tab w:leader="none" w:pos="864"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4" w:firstLine="408"/>
        <w:spacing w:after="0" w:line="263" w:lineRule="auto"/>
        <w:tabs>
          <w:tab w:leader="none" w:pos="1374" w:val="left"/>
        </w:tabs>
        <w:numPr>
          <w:ilvl w:val="2"/>
          <w:numId w:val="124"/>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75" w:lineRule="exact"/>
        <w:rPr>
          <w:rFonts w:ascii="Arial" w:cs="Arial" w:eastAsia="Arial" w:hAnsi="Arial"/>
          <w:sz w:val="18"/>
          <w:szCs w:val="18"/>
          <w:color w:val="auto"/>
        </w:rPr>
      </w:pPr>
    </w:p>
    <w:p>
      <w:pPr>
        <w:ind w:left="544" w:firstLine="408"/>
        <w:spacing w:after="0" w:line="263" w:lineRule="auto"/>
        <w:tabs>
          <w:tab w:leader="none" w:pos="1364" w:val="left"/>
        </w:tabs>
        <w:numPr>
          <w:ilvl w:val="2"/>
          <w:numId w:val="124"/>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commissions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4" w:right="40" w:firstLine="408"/>
        <w:spacing w:after="0" w:line="293" w:lineRule="auto"/>
        <w:tabs>
          <w:tab w:leader="none" w:pos="1361" w:val="left"/>
        </w:tabs>
        <w:numPr>
          <w:ilvl w:val="2"/>
          <w:numId w:val="124"/>
        </w:numPr>
        <w:rPr>
          <w:rFonts w:ascii="Arial" w:cs="Arial" w:eastAsia="Arial" w:hAnsi="Arial"/>
          <w:sz w:val="16"/>
          <w:szCs w:val="16"/>
          <w:color w:val="auto"/>
        </w:rPr>
      </w:pPr>
      <w:r>
        <w:rPr>
          <w:rFonts w:ascii="Arial" w:cs="Arial" w:eastAsia="Arial" w:hAnsi="Arial"/>
          <w:sz w:val="16"/>
          <w:szCs w:val="16"/>
          <w:color w:val="auto"/>
        </w:rPr>
        <w:t>With respect to any Commitment Fee or letter of credit commission not required to be paid to any Defaulting Lender pursuant to clause (A) or (B) above, the Borrowers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56" w:lineRule="exact"/>
        <w:rPr>
          <w:rFonts w:ascii="Arial" w:cs="Arial" w:eastAsia="Arial" w:hAnsi="Arial"/>
          <w:sz w:val="16"/>
          <w:szCs w:val="16"/>
          <w:color w:val="auto"/>
        </w:rPr>
      </w:pPr>
    </w:p>
    <w:p>
      <w:pPr>
        <w:ind w:left="4" w:right="260" w:firstLine="419"/>
        <w:spacing w:after="0" w:line="287" w:lineRule="auto"/>
        <w:tabs>
          <w:tab w:leader="none" w:pos="866"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Fronting Exposure</w:t>
      </w:r>
      <w:r>
        <w:rPr>
          <w:rFonts w:ascii="Arial" w:cs="Arial" w:eastAsia="Arial" w:hAnsi="Arial"/>
          <w:sz w:val="16"/>
          <w:szCs w:val="16"/>
          <w:color w:val="auto"/>
        </w:rPr>
        <w:t>.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w:t>
      </w:r>
    </w:p>
    <w:p>
      <w:pPr>
        <w:spacing w:after="0" w:line="2" w:lineRule="exact"/>
        <w:rPr>
          <w:rFonts w:ascii="Arial" w:cs="Arial" w:eastAsia="Arial" w:hAnsi="Arial"/>
          <w:sz w:val="16"/>
          <w:szCs w:val="16"/>
          <w:color w:val="auto"/>
        </w:rPr>
      </w:pPr>
    </w:p>
    <w:p>
      <w:pPr>
        <w:ind w:left="4" w:right="60" w:hanging="4"/>
        <w:spacing w:after="0" w:line="270" w:lineRule="auto"/>
        <w:tabs>
          <w:tab w:leader="none" w:pos="25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the conditions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0" w:lineRule="exact"/>
        <w:rPr>
          <w:rFonts w:ascii="Arial" w:cs="Arial" w:eastAsia="Arial" w:hAnsi="Arial"/>
          <w:sz w:val="17"/>
          <w:szCs w:val="17"/>
          <w:color w:val="auto"/>
        </w:rPr>
      </w:pPr>
    </w:p>
    <w:p>
      <w:pPr>
        <w:ind w:left="4" w:right="160" w:firstLine="419"/>
        <w:spacing w:after="0" w:line="259" w:lineRule="auto"/>
        <w:tabs>
          <w:tab w:leader="none" w:pos="816"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clause (iv) above cannot, or can only partially, be effected, the Borrowers shall, without prejudice to any right or remedy available to it hereunder or under law,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repay Swingline Loans in an amount equal to the Swingline Lenders’ Fronting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Issuing Lenders’ Fronting Exposure in accordance with the procedures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1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544"/>
          </w:cols>
          <w:pgMar w:left="876" w:top="274" w:right="479" w:bottom="1440" w:gutter="0" w:footer="0" w:header="0"/>
        </w:sectPr>
      </w:pPr>
    </w:p>
    <w:bookmarkStart w:id="104" w:name="page105"/>
    <w:bookmarkEnd w:id="104"/>
    <w:p>
      <w:pPr>
        <w:ind w:firstLine="436"/>
        <w:spacing w:after="0" w:line="269" w:lineRule="auto"/>
        <w:tabs>
          <w:tab w:leader="none" w:pos="83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Lender Cure</w:t>
      </w:r>
      <w:r>
        <w:rPr>
          <w:rFonts w:ascii="Arial" w:cs="Arial" w:eastAsia="Arial" w:hAnsi="Arial"/>
          <w:sz w:val="17"/>
          <w:szCs w:val="17"/>
          <w:color w:val="auto"/>
        </w:rPr>
        <w:t xml:space="preserve">. If the Borrowers, the Administrative Agent, the Issuing Lenders and the Swingline Lenders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Lenders in accordance with the Commitments under the applicable Credit Facility (without giving effect to </w:t>
      </w:r>
      <w:r>
        <w:rPr>
          <w:rFonts w:ascii="Arial" w:cs="Arial" w:eastAsia="Arial" w:hAnsi="Arial"/>
          <w:sz w:val="17"/>
          <w:szCs w:val="17"/>
          <w:u w:val="single" w:color="auto"/>
          <w:color w:val="auto"/>
        </w:rPr>
        <w:t>Section 5.15(a)(iv)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93"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6"/>
          <w:szCs w:val="16"/>
          <w:u w:val="single" w:color="auto"/>
          <w:color w:val="auto"/>
        </w:rPr>
        <w:t>Centuri as Agent for the Borrowers; Nature of Obligations</w:t>
      </w:r>
      <w:r>
        <w:rPr>
          <w:rFonts w:ascii="Arial" w:cs="Arial" w:eastAsia="Arial" w:hAnsi="Arial"/>
          <w:sz w:val="16"/>
          <w:szCs w:val="16"/>
          <w:color w:val="auto"/>
        </w:rPr>
        <w:t>.</w:t>
      </w:r>
    </w:p>
    <w:p>
      <w:pPr>
        <w:spacing w:after="0" w:line="117" w:lineRule="exact"/>
        <w:rPr>
          <w:sz w:val="20"/>
          <w:szCs w:val="20"/>
          <w:color w:val="auto"/>
        </w:rPr>
      </w:pPr>
    </w:p>
    <w:p>
      <w:pPr>
        <w:ind w:right="60" w:firstLine="436"/>
        <w:spacing w:after="0" w:line="255" w:lineRule="auto"/>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Borrower hereby irrevocably appoints and authorizes Centuri (a) to provide the Administrative Agent with all notices with respect to Loans obtained for the benefit of such Borrower and all other notices and instructions under this Agreement, (b) to take such action on behalf of such Borrower as Centuri deems appropriate on its behalf to such Borrower Loans or Letters of Credit and to exercise such other powers as are reasonably incidental thereto to carry out the purposes of this Agreement and (c) to act as its agent for service of process and notices required to be delivered under this Agreement or the other Loan Documents, it being understood and agreed that receipt by Centuri of any summons, notice or other similar item shall be deemed effective receipt by the Consolidated Companies.</w:t>
      </w:r>
    </w:p>
    <w:p>
      <w:pPr>
        <w:spacing w:after="0" w:line="192" w:lineRule="exact"/>
        <w:rPr>
          <w:rFonts w:ascii="Arial" w:cs="Arial" w:eastAsia="Arial" w:hAnsi="Arial"/>
          <w:sz w:val="18"/>
          <w:szCs w:val="18"/>
          <w:color w:val="auto"/>
        </w:rPr>
      </w:pPr>
    </w:p>
    <w:p>
      <w:pPr>
        <w:ind w:right="300" w:firstLine="436"/>
        <w:spacing w:after="0" w:line="259" w:lineRule="auto"/>
        <w:tabs>
          <w:tab w:leader="none" w:pos="83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Notwithstanding anything to contrary contained in the Loan Documents, (a) the US Borrowers shall be jointly and severally liable for all Obligations and (b) the Canadian Borrowers shall be jointly and severally liable for all Canadian Obligations, but in no event shall any Canadian Borrower have any obligation with respect to the US Obligations. In the event of any conflict or inconsistency between this </w:t>
      </w:r>
      <w:r>
        <w:rPr>
          <w:rFonts w:ascii="Arial" w:cs="Arial" w:eastAsia="Arial" w:hAnsi="Arial"/>
          <w:sz w:val="18"/>
          <w:szCs w:val="18"/>
          <w:u w:val="single" w:color="auto"/>
          <w:color w:val="auto"/>
        </w:rPr>
        <w:t>Section 5.16(b)</w:t>
      </w:r>
      <w:r>
        <w:rPr>
          <w:rFonts w:ascii="Arial" w:cs="Arial" w:eastAsia="Arial" w:hAnsi="Arial"/>
          <w:sz w:val="18"/>
          <w:szCs w:val="18"/>
          <w:color w:val="auto"/>
        </w:rPr>
        <w:t xml:space="preserve"> and any other provision of any Loan Document, this </w:t>
      </w:r>
      <w:r>
        <w:rPr>
          <w:rFonts w:ascii="Arial" w:cs="Arial" w:eastAsia="Arial" w:hAnsi="Arial"/>
          <w:sz w:val="18"/>
          <w:szCs w:val="18"/>
          <w:u w:val="single" w:color="auto"/>
          <w:color w:val="auto"/>
        </w:rPr>
        <w:t>Section 5.16(b)</w:t>
      </w:r>
      <w:r>
        <w:rPr>
          <w:rFonts w:ascii="Arial" w:cs="Arial" w:eastAsia="Arial" w:hAnsi="Arial"/>
          <w:sz w:val="18"/>
          <w:szCs w:val="18"/>
          <w:color w:val="auto"/>
        </w:rPr>
        <w:t xml:space="preserve"> shall control.</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Additional Borrowers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8.14</w:t>
      </w:r>
      <w:r>
        <w:rPr>
          <w:rFonts w:ascii="Arial" w:cs="Arial" w:eastAsia="Arial" w:hAnsi="Arial"/>
          <w:sz w:val="17"/>
          <w:szCs w:val="17"/>
          <w:color w:val="auto"/>
        </w:rPr>
        <w:t>, Centuri may at any time, upon not less than fifteen (15) Business Days’ notice from Centuri to the Administrative Agent and the Lenders (or such shorter period as may be agreed by the Administrative Agent in its sole discretion), request that a Wholly-Owned US Subsidiary or Wholly-Owned Canadian Subsidiary (each, an “</w:t>
      </w:r>
      <w:r>
        <w:rPr>
          <w:rFonts w:ascii="Arial" w:cs="Arial" w:eastAsia="Arial" w:hAnsi="Arial"/>
          <w:sz w:val="17"/>
          <w:szCs w:val="17"/>
          <w:u w:val="single" w:color="auto"/>
          <w:color w:val="auto"/>
        </w:rPr>
        <w:t>Applicant Borrower</w:t>
      </w:r>
      <w:r>
        <w:rPr>
          <w:rFonts w:ascii="Arial" w:cs="Arial" w:eastAsia="Arial" w:hAnsi="Arial"/>
          <w:sz w:val="17"/>
          <w:szCs w:val="17"/>
          <w:color w:val="auto"/>
        </w:rPr>
        <w:t xml:space="preserve">”) be designated as an Additional Borrower to receive Loans and request Letters of Credit hereunder by delivering to the Administrative Agent (which shall promptly deliver counterparts thereof to each Lender) a duly executed notice and agreement in substantially the form of </w:t>
      </w:r>
      <w:r>
        <w:rPr>
          <w:rFonts w:ascii="Arial" w:cs="Arial" w:eastAsia="Arial" w:hAnsi="Arial"/>
          <w:sz w:val="17"/>
          <w:szCs w:val="17"/>
          <w:b w:val="1"/>
          <w:bCs w:val="1"/>
          <w:i w:val="1"/>
          <w:iCs w:val="1"/>
          <w:color w:val="auto"/>
        </w:rPr>
        <w:t>Exhibit I</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Additional Borrower Request and Assumption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US Subsidiary or Canadian Subsidiary may be designated as an Additional Borrower without the consent of each Revolving Credit Lender unless such US Subsidiary or Canadian Subsidiary is already a US Subsidiary Guarantor or Canadian Subsidiary Guarantor, as applicable. The parties hereto acknowledge and agree that prior to any Applicant Borrower becoming entitled to utilize the Credit Facilities, the Administrative Agent and the Lenders shall have received such supporting Security Documents, supplements to the Loan Documents, resolutions, incumbency certificates, opinions of counsel, all documentation and other information in order to comply with requirements of any Anti-Money Laundering Laws including, without limitation, the PATRIOT Act and any applicable “know your customer” rules and regulations, Beneficial Ownership Certification and other documents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105" w:name="page106"/>
    <w:bookmarkEnd w:id="105"/>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in form, content and scope reasonably satisfactory to the Administrative Agent, as may be required by the Administrative Agent or the Lenders in their sole discretion, and Notes signed by such new Borrowers to the extent any Lenders so require. If the Administrative Agent and the Lenders agree that an Applicant Borrower shall be entitled to receive Loans and request Letters of Credit hereunder, then promptly following receipt of all such requested documents and information described above, the Administrative Agent shall send a notice in substantially the form of </w:t>
      </w:r>
      <w:r>
        <w:rPr>
          <w:rFonts w:ascii="Arial" w:cs="Arial" w:eastAsia="Arial" w:hAnsi="Arial"/>
          <w:sz w:val="17"/>
          <w:szCs w:val="17"/>
          <w:b w:val="1"/>
          <w:bCs w:val="1"/>
          <w:i w:val="1"/>
          <w:iCs w:val="1"/>
          <w:color w:val="auto"/>
        </w:rPr>
        <w:t>Exhibit J</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Additional Borrower Notice</w:t>
      </w:r>
      <w:r>
        <w:rPr>
          <w:rFonts w:ascii="Arial" w:cs="Arial" w:eastAsia="Arial" w:hAnsi="Arial"/>
          <w:sz w:val="17"/>
          <w:szCs w:val="17"/>
          <w:color w:val="auto"/>
        </w:rPr>
        <w:t xml:space="preserve">”) to Centuri and the Lenders specifying the effective date upon which the Applicant Borrower shall constitute an Additional Borrower for purposes hereof, whereupon each of the Lenders agrees to permit such Additional Borrower to receive Loans and request Letters of Credit hereunder, on the terms and conditions set forth herein, and each of the parties agrees that such Additional Borrower otherwise shall be a Borrower for all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Notice of Borrowing or Letter of Credit Application may be submitted by or on behalf of such Additional Borrower until the date five (5) Business Days after such effective date.</w:t>
      </w:r>
    </w:p>
    <w:p>
      <w:pPr>
        <w:spacing w:after="0" w:line="28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5.18</w:t>
      </w:r>
      <w:r>
        <w:rPr>
          <w:sz w:val="20"/>
          <w:szCs w:val="20"/>
          <w:color w:val="auto"/>
        </w:rPr>
        <w:tab/>
      </w:r>
      <w:r>
        <w:rPr>
          <w:rFonts w:ascii="Arial" w:cs="Arial" w:eastAsia="Arial" w:hAnsi="Arial"/>
          <w:sz w:val="16"/>
          <w:szCs w:val="16"/>
          <w:u w:val="single" w:color="auto"/>
          <w:color w:val="auto"/>
        </w:rPr>
        <w:t>Refinancing Facilities</w:t>
      </w:r>
      <w:r>
        <w:rPr>
          <w:rFonts w:ascii="Arial" w:cs="Arial" w:eastAsia="Arial" w:hAnsi="Arial"/>
          <w:sz w:val="16"/>
          <w:szCs w:val="16"/>
          <w:color w:val="auto"/>
        </w:rPr>
        <w:t>.</w:t>
      </w:r>
    </w:p>
    <w:p>
      <w:pPr>
        <w:spacing w:after="0" w:line="117" w:lineRule="exact"/>
        <w:rPr>
          <w:sz w:val="20"/>
          <w:szCs w:val="20"/>
          <w:color w:val="auto"/>
        </w:rPr>
      </w:pPr>
    </w:p>
    <w:p>
      <w:pPr>
        <w:ind w:right="40" w:firstLine="436"/>
        <w:spacing w:after="0" w:line="255" w:lineRule="auto"/>
        <w:tabs>
          <w:tab w:leader="none" w:pos="81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Borrowers may by written notice to the Administrative Agent elect to request the establishment of (i) one or more additional tranches or Classes of term loans under this Agreement (“</w:t>
      </w:r>
      <w:r>
        <w:rPr>
          <w:rFonts w:ascii="Arial" w:cs="Arial" w:eastAsia="Arial" w:hAnsi="Arial"/>
          <w:sz w:val="18"/>
          <w:szCs w:val="18"/>
          <w:u w:val="single" w:color="auto"/>
          <w:color w:val="auto"/>
        </w:rPr>
        <w:t>Refinancing Term Loans</w:t>
      </w:r>
      <w:r>
        <w:rPr>
          <w:rFonts w:ascii="Arial" w:cs="Arial" w:eastAsia="Arial" w:hAnsi="Arial"/>
          <w:sz w:val="18"/>
          <w:szCs w:val="18"/>
          <w:color w:val="auto"/>
        </w:rPr>
        <w:t>”) or one or more series of debt securities (“</w:t>
      </w:r>
      <w:r>
        <w:rPr>
          <w:rFonts w:ascii="Arial" w:cs="Arial" w:eastAsia="Arial" w:hAnsi="Arial"/>
          <w:sz w:val="18"/>
          <w:szCs w:val="18"/>
          <w:u w:val="single" w:color="auto"/>
          <w:color w:val="auto"/>
        </w:rPr>
        <w:t>Refinancing Notes</w:t>
      </w:r>
      <w:r>
        <w:rPr>
          <w:rFonts w:ascii="Arial" w:cs="Arial" w:eastAsia="Arial" w:hAnsi="Arial"/>
          <w:sz w:val="18"/>
          <w:szCs w:val="18"/>
          <w:color w:val="auto"/>
        </w:rPr>
        <w:t>”), which refinance, renew, replace, defease or refund (collectively, “</w:t>
      </w:r>
      <w:r>
        <w:rPr>
          <w:rFonts w:ascii="Arial" w:cs="Arial" w:eastAsia="Arial" w:hAnsi="Arial"/>
          <w:sz w:val="18"/>
          <w:szCs w:val="18"/>
          <w:u w:val="single" w:color="auto"/>
          <w:color w:val="auto"/>
        </w:rPr>
        <w:t>Refinance</w:t>
      </w:r>
      <w:r>
        <w:rPr>
          <w:rFonts w:ascii="Arial" w:cs="Arial" w:eastAsia="Arial" w:hAnsi="Arial"/>
          <w:sz w:val="18"/>
          <w:szCs w:val="18"/>
          <w:color w:val="auto"/>
        </w:rPr>
        <w:t>”) one or more Classes of Term Loans under this Agreement or (ii) one or more additional revolving facilities under this Agreement providing for revolving commitments (“</w:t>
      </w:r>
      <w:r>
        <w:rPr>
          <w:rFonts w:ascii="Arial" w:cs="Arial" w:eastAsia="Arial" w:hAnsi="Arial"/>
          <w:sz w:val="18"/>
          <w:szCs w:val="18"/>
          <w:u w:val="single" w:color="auto"/>
          <w:color w:val="auto"/>
        </w:rPr>
        <w:t>Refinancing Revolving Credit Commitments</w:t>
      </w:r>
      <w:r>
        <w:rPr>
          <w:rFonts w:ascii="Arial" w:cs="Arial" w:eastAsia="Arial" w:hAnsi="Arial"/>
          <w:sz w:val="18"/>
          <w:szCs w:val="18"/>
          <w:color w:val="auto"/>
        </w:rPr>
        <w:t>” and the revolving loans thereunder, “</w:t>
      </w:r>
      <w:r>
        <w:rPr>
          <w:rFonts w:ascii="Arial" w:cs="Arial" w:eastAsia="Arial" w:hAnsi="Arial"/>
          <w:sz w:val="18"/>
          <w:szCs w:val="18"/>
          <w:u w:val="single" w:color="auto"/>
          <w:color w:val="auto"/>
        </w:rPr>
        <w:t>Refinancing Revolving Loans</w:t>
      </w:r>
      <w:r>
        <w:rPr>
          <w:rFonts w:ascii="Arial" w:cs="Arial" w:eastAsia="Arial" w:hAnsi="Arial"/>
          <w:sz w:val="18"/>
          <w:szCs w:val="18"/>
          <w:color w:val="auto"/>
        </w:rPr>
        <w:t xml:space="preserve">”) which Refinances one or more Classes of Revolving Credit Commitments (and Revolving Credit Loans thereunder)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4" w:lineRule="exact"/>
        <w:rPr>
          <w:rFonts w:ascii="Arial" w:cs="Arial" w:eastAsia="Arial" w:hAnsi="Arial"/>
          <w:sz w:val="18"/>
          <w:szCs w:val="18"/>
          <w:color w:val="auto"/>
        </w:rPr>
      </w:pPr>
    </w:p>
    <w:p>
      <w:pPr>
        <w:ind w:left="1200" w:hanging="341"/>
        <w:spacing w:after="0"/>
        <w:tabs>
          <w:tab w:leader="none" w:pos="12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result therefrom;</w:t>
      </w:r>
    </w:p>
    <w:p>
      <w:pPr>
        <w:spacing w:after="0" w:line="117" w:lineRule="exact"/>
        <w:rPr>
          <w:rFonts w:ascii="Arial" w:cs="Arial" w:eastAsia="Arial" w:hAnsi="Arial"/>
          <w:sz w:val="18"/>
          <w:szCs w:val="18"/>
          <w:color w:val="auto"/>
        </w:rPr>
      </w:pPr>
    </w:p>
    <w:p>
      <w:pPr>
        <w:ind w:left="440" w:firstLine="419"/>
        <w:spacing w:after="0" w:line="263" w:lineRule="auto"/>
        <w:tabs>
          <w:tab w:leader="none" w:pos="126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principal amount of such Refinancing Debt or Refinancing Revolving Credit Commitments may not exceed the aggregate principal amount of the Term Loans or Revolving Credit Commitments being Refinanced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interest thereon, any prepayment premiums applicable thereto and reasonable fees and expenses incurred in connection therewith;</w:t>
      </w:r>
    </w:p>
    <w:p>
      <w:pPr>
        <w:spacing w:after="0" w:line="75" w:lineRule="exact"/>
        <w:rPr>
          <w:rFonts w:ascii="Arial" w:cs="Arial" w:eastAsia="Arial" w:hAnsi="Arial"/>
          <w:sz w:val="18"/>
          <w:szCs w:val="18"/>
          <w:color w:val="auto"/>
        </w:rPr>
      </w:pPr>
    </w:p>
    <w:p>
      <w:pPr>
        <w:ind w:left="440" w:right="60" w:firstLine="419"/>
        <w:spacing w:after="0" w:line="257" w:lineRule="auto"/>
        <w:tabs>
          <w:tab w:leader="none" w:pos="131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final maturity date of such Refinancing Debt or Refinancing Revolving Credit Commitments shall not be earlier than the maturity date of the Term Loans (or, in the case of any unsecured or junior lien Refinancing Debt, no earlier than the date that is 91 days after the latest final maturity date of the Term Loans existing at the time of such refinancing or replacement) or Revolving Credit Commitments being Refinanced, and the Weighted Average Life to Maturity of such Refinancing Debt shall be no earlier than the then remaining Weighted Average Life to Maturity of each Class of Term Loans being refinanced;</w:t>
      </w:r>
    </w:p>
    <w:p>
      <w:pPr>
        <w:spacing w:after="0" w:line="79" w:lineRule="exact"/>
        <w:rPr>
          <w:rFonts w:ascii="Arial" w:cs="Arial" w:eastAsia="Arial" w:hAnsi="Arial"/>
          <w:sz w:val="18"/>
          <w:szCs w:val="18"/>
          <w:color w:val="auto"/>
        </w:rPr>
      </w:pPr>
    </w:p>
    <w:p>
      <w:pPr>
        <w:ind w:left="440" w:right="100" w:firstLine="419"/>
        <w:spacing w:after="0" w:line="254" w:lineRule="auto"/>
        <w:tabs>
          <w:tab w:leader="none" w:pos="130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other terms and conditions of such Refinancing Debt or Refinancing Revolving Credit Commitments (except as otherwise provided in clause (iii) above and with respect to pricing, interest rate margins, premiums, discounts, fees, rate floors and optional prepayment or redemption terms), taken as a whole shall (as reasonably determined by the Borrowers) be substantially similar to, or (taken as a whole) not materially less favorable to the Borrowers and their respective Subsidiaries than, the terms, taken as a whole, applicable to Term Loans or Revolving Credit Commitments being Refinanced, except to the extent such covenants and other terms apply solely to any period after the latest final Term Loan Maturity Date or Revolving Credit Maturity Date of the Term Loans and/or Revolving Credit Commitments being Refinanced (or, in the case of any unsecured or junior lien Refinancing Debt, after the date that is 91 days after such latest final Term Loan Maturity Date or Revolving Credit Maturity Date);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4" w:right="479" w:bottom="1440" w:gutter="0" w:footer="0" w:header="0"/>
        </w:sectPr>
      </w:pPr>
    </w:p>
    <w:bookmarkStart w:id="106" w:name="page107"/>
    <w:bookmarkEnd w:id="106"/>
    <w:p>
      <w:pPr>
        <w:ind w:left="444" w:right="20" w:firstLine="419"/>
        <w:spacing w:after="0" w:line="259" w:lineRule="auto"/>
        <w:tabs>
          <w:tab w:leader="none" w:pos="1257" w:val="left"/>
        </w:tabs>
        <w:numPr>
          <w:ilvl w:val="2"/>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proceeds of such Refinancing Debt, Refinancing Revolving Credit Commitments or Refinancing Revolving Loans shall be applied, concurrently or substantially concurrently with the incurrence thereof (in accordance with </w:t>
      </w:r>
      <w:r>
        <w:rPr>
          <w:rFonts w:ascii="Arial" w:cs="Arial" w:eastAsia="Arial" w:hAnsi="Arial"/>
          <w:sz w:val="18"/>
          <w:szCs w:val="18"/>
          <w:u w:val="single" w:color="auto"/>
          <w:color w:val="auto"/>
        </w:rPr>
        <w:t>Section 4.4(b)(i)</w:t>
      </w:r>
      <w:r>
        <w:rPr>
          <w:rFonts w:ascii="Arial" w:cs="Arial" w:eastAsia="Arial" w:hAnsi="Arial"/>
          <w:sz w:val="18"/>
          <w:szCs w:val="18"/>
          <w:color w:val="auto"/>
        </w:rPr>
        <w:t>), solely to the repayment of the outstanding amount of one or more Classes of Term Loans or permanently reduce one or more Classes of Revolving Credit Commitments and Revolving Credit Loans, as the case may be, being Refinanced thereby;</w:t>
      </w:r>
    </w:p>
    <w:p>
      <w:pPr>
        <w:spacing w:after="0" w:line="78" w:lineRule="exact"/>
        <w:rPr>
          <w:rFonts w:ascii="Arial" w:cs="Arial" w:eastAsia="Arial" w:hAnsi="Arial"/>
          <w:sz w:val="18"/>
          <w:szCs w:val="18"/>
          <w:color w:val="auto"/>
        </w:rPr>
      </w:pPr>
    </w:p>
    <w:p>
      <w:pPr>
        <w:ind w:left="444" w:firstLine="419"/>
        <w:spacing w:after="0" w:line="263" w:lineRule="auto"/>
        <w:tabs>
          <w:tab w:leader="none" w:pos="1307" w:val="left"/>
        </w:tabs>
        <w:numPr>
          <w:ilvl w:val="2"/>
          <w:numId w:val="129"/>
        </w:numPr>
        <w:rPr>
          <w:rFonts w:ascii="Arial" w:cs="Arial" w:eastAsia="Arial" w:hAnsi="Arial"/>
          <w:sz w:val="18"/>
          <w:szCs w:val="18"/>
          <w:color w:val="auto"/>
        </w:rPr>
      </w:pPr>
      <w:r>
        <w:rPr>
          <w:rFonts w:ascii="Arial" w:cs="Arial" w:eastAsia="Arial" w:hAnsi="Arial"/>
          <w:sz w:val="18"/>
          <w:szCs w:val="18"/>
          <w:color w:val="auto"/>
        </w:rPr>
        <w:t>each Class of Refinancing Term Loans or Refinancing Revolving Credit Commitments shall be in an aggregate amount of $5,000,000 or any whole multiple of $1,000,000 in excess thereof (or such other amount necessary to repay or replace any Class of outstanding Term Loans or Refinancing Revolving Credit Commitments in full);</w:t>
      </w:r>
    </w:p>
    <w:p>
      <w:pPr>
        <w:spacing w:after="0" w:line="75" w:lineRule="exact"/>
        <w:rPr>
          <w:rFonts w:ascii="Arial" w:cs="Arial" w:eastAsia="Arial" w:hAnsi="Arial"/>
          <w:sz w:val="18"/>
          <w:szCs w:val="18"/>
          <w:color w:val="auto"/>
        </w:rPr>
      </w:pPr>
    </w:p>
    <w:p>
      <w:pPr>
        <w:ind w:left="444" w:right="560" w:firstLine="419"/>
        <w:spacing w:after="0" w:line="277" w:lineRule="auto"/>
        <w:tabs>
          <w:tab w:leader="none" w:pos="1357" w:val="left"/>
        </w:tabs>
        <w:numPr>
          <w:ilvl w:val="2"/>
          <w:numId w:val="129"/>
        </w:numPr>
        <w:rPr>
          <w:rFonts w:ascii="Arial" w:cs="Arial" w:eastAsia="Arial" w:hAnsi="Arial"/>
          <w:sz w:val="18"/>
          <w:szCs w:val="18"/>
          <w:color w:val="auto"/>
        </w:rPr>
      </w:pPr>
      <w:r>
        <w:rPr>
          <w:rFonts w:ascii="Arial" w:cs="Arial" w:eastAsia="Arial" w:hAnsi="Arial"/>
          <w:sz w:val="18"/>
          <w:szCs w:val="18"/>
          <w:color w:val="auto"/>
        </w:rPr>
        <w:t>no Subsidiary that is not also a Subsidiary Guarantor may be a borrower or a guarantor with respect to such Refinancing Debt, Refinancing Revolving Credit Commitments and/or Refinancing Revolving Loans;</w:t>
      </w:r>
    </w:p>
    <w:p>
      <w:pPr>
        <w:spacing w:after="0" w:line="62" w:lineRule="exact"/>
        <w:rPr>
          <w:rFonts w:ascii="Arial" w:cs="Arial" w:eastAsia="Arial" w:hAnsi="Arial"/>
          <w:sz w:val="18"/>
          <w:szCs w:val="18"/>
          <w:color w:val="auto"/>
        </w:rPr>
      </w:pPr>
    </w:p>
    <w:p>
      <w:pPr>
        <w:ind w:left="444" w:right="40" w:firstLine="419"/>
        <w:spacing w:after="0" w:line="257" w:lineRule="auto"/>
        <w:tabs>
          <w:tab w:leader="none" w:pos="1407" w:val="left"/>
        </w:tabs>
        <w:numPr>
          <w:ilvl w:val="2"/>
          <w:numId w:val="129"/>
        </w:numPr>
        <w:rPr>
          <w:rFonts w:ascii="Arial" w:cs="Arial" w:eastAsia="Arial" w:hAnsi="Arial"/>
          <w:sz w:val="18"/>
          <w:szCs w:val="18"/>
          <w:color w:val="auto"/>
        </w:rPr>
      </w:pPr>
      <w:r>
        <w:rPr>
          <w:rFonts w:ascii="Arial" w:cs="Arial" w:eastAsia="Arial" w:hAnsi="Arial"/>
          <w:sz w:val="18"/>
          <w:szCs w:val="18"/>
          <w:color w:val="auto"/>
        </w:rPr>
        <w:t>Refinancing Debt, Refinancing Revolving Credit Commitments and/or Refinancing Revolving Loans may be unsecured or may only be secured by the Collateral and may rank pari passu or junior in right of payment and/or security with the remaining Revolving Credit Commitments, Revolving Credit Loans and/or Term Loans, so long as the holders of any Refinancing Debt, Refinancing Revolving Credit Commitments and/or Refinancing Revolving Loans that are junior in right of payment and/or security are subject to an Acceptable Intercreditor Agreement;</w:t>
      </w:r>
    </w:p>
    <w:p>
      <w:pPr>
        <w:spacing w:after="0" w:line="79" w:lineRule="exact"/>
        <w:rPr>
          <w:rFonts w:ascii="Arial" w:cs="Arial" w:eastAsia="Arial" w:hAnsi="Arial"/>
          <w:sz w:val="18"/>
          <w:szCs w:val="18"/>
          <w:color w:val="auto"/>
        </w:rPr>
      </w:pPr>
    </w:p>
    <w:p>
      <w:pPr>
        <w:ind w:left="444" w:right="240" w:firstLine="419"/>
        <w:spacing w:after="0" w:line="277" w:lineRule="auto"/>
        <w:tabs>
          <w:tab w:leader="none" w:pos="1307" w:val="left"/>
        </w:tabs>
        <w:numPr>
          <w:ilvl w:val="2"/>
          <w:numId w:val="129"/>
        </w:numPr>
        <w:rPr>
          <w:rFonts w:ascii="Arial" w:cs="Arial" w:eastAsia="Arial" w:hAnsi="Arial"/>
          <w:sz w:val="18"/>
          <w:szCs w:val="18"/>
          <w:color w:val="auto"/>
        </w:rPr>
      </w:pPr>
      <w:r>
        <w:rPr>
          <w:rFonts w:ascii="Arial" w:cs="Arial" w:eastAsia="Arial" w:hAnsi="Arial"/>
          <w:sz w:val="18"/>
          <w:szCs w:val="18"/>
          <w:color w:val="auto"/>
        </w:rPr>
        <w:t>such Refinancing Debt or Refinancing Revolving Credit Commitments shall not be secured by any asset of the Borrowers and their respective Subsidiaries other than the Collateral;</w:t>
      </w:r>
    </w:p>
    <w:p>
      <w:pPr>
        <w:spacing w:after="0" w:line="62" w:lineRule="exact"/>
        <w:rPr>
          <w:rFonts w:ascii="Arial" w:cs="Arial" w:eastAsia="Arial" w:hAnsi="Arial"/>
          <w:sz w:val="18"/>
          <w:szCs w:val="18"/>
          <w:color w:val="auto"/>
        </w:rPr>
      </w:pPr>
    </w:p>
    <w:p>
      <w:pPr>
        <w:ind w:left="444" w:right="100" w:firstLine="419"/>
        <w:spacing w:after="0" w:line="275" w:lineRule="auto"/>
        <w:tabs>
          <w:tab w:leader="none" w:pos="1257" w:val="left"/>
        </w:tabs>
        <w:numPr>
          <w:ilvl w:val="2"/>
          <w:numId w:val="129"/>
        </w:numPr>
        <w:rPr>
          <w:rFonts w:ascii="Arial" w:cs="Arial" w:eastAsia="Arial" w:hAnsi="Arial"/>
          <w:sz w:val="17"/>
          <w:szCs w:val="17"/>
          <w:color w:val="auto"/>
        </w:rPr>
      </w:pPr>
      <w:r>
        <w:rPr>
          <w:rFonts w:ascii="Arial" w:cs="Arial" w:eastAsia="Arial" w:hAnsi="Arial"/>
          <w:sz w:val="17"/>
          <w:szCs w:val="17"/>
          <w:color w:val="auto"/>
        </w:rPr>
        <w:t>in the case of any Refinancing Revolving Credit Commitments, substantially concurrently with the effectiveness thereof, all the Revolving Credit Commitments then in effect shall be terminated, and all the Revolving Credit Loans then outstanding, together with all interest thereon, and all other amounts accrued for the benefit of the Revolving Credit Lenders, shall be repaid or paid (it being understood, however, that any Letters of Credit may continue to be outstanding hereunder), and the aggregate amount of such Refinancing Revolving Credit Commitments does not exceed the aggregate amount of the Revolving Credit Commitments so terminated; and</w:t>
      </w:r>
    </w:p>
    <w:p>
      <w:pPr>
        <w:spacing w:after="0" w:line="68" w:lineRule="exact"/>
        <w:rPr>
          <w:rFonts w:ascii="Arial" w:cs="Arial" w:eastAsia="Arial" w:hAnsi="Arial"/>
          <w:sz w:val="17"/>
          <w:szCs w:val="17"/>
          <w:color w:val="auto"/>
        </w:rPr>
      </w:pPr>
    </w:p>
    <w:p>
      <w:pPr>
        <w:ind w:left="444" w:right="60" w:firstLine="419"/>
        <w:spacing w:after="0" w:line="311" w:lineRule="auto"/>
        <w:tabs>
          <w:tab w:leader="none" w:pos="1307" w:val="left"/>
        </w:tabs>
        <w:numPr>
          <w:ilvl w:val="2"/>
          <w:numId w:val="129"/>
        </w:numPr>
        <w:rPr>
          <w:rFonts w:ascii="Arial" w:cs="Arial" w:eastAsia="Arial" w:hAnsi="Arial"/>
          <w:sz w:val="16"/>
          <w:szCs w:val="16"/>
          <w:color w:val="auto"/>
        </w:rPr>
      </w:pPr>
      <w:r>
        <w:rPr>
          <w:rFonts w:ascii="Arial" w:cs="Arial" w:eastAsia="Arial" w:hAnsi="Arial"/>
          <w:sz w:val="16"/>
          <w:szCs w:val="16"/>
          <w:color w:val="auto"/>
        </w:rPr>
        <w:t>any mandatory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w:t>
      </w:r>
    </w:p>
    <w:p>
      <w:pPr>
        <w:spacing w:after="0" w:line="148" w:lineRule="exact"/>
        <w:rPr>
          <w:rFonts w:ascii="Arial" w:cs="Arial" w:eastAsia="Arial" w:hAnsi="Arial"/>
          <w:sz w:val="16"/>
          <w:szCs w:val="16"/>
          <w:color w:val="auto"/>
        </w:rPr>
      </w:pPr>
    </w:p>
    <w:p>
      <w:pPr>
        <w:ind w:left="4" w:right="740" w:firstLine="436"/>
        <w:spacing w:after="0" w:line="291" w:lineRule="auto"/>
        <w:tabs>
          <w:tab w:leader="none" w:pos="834"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Each such notice shall specify the date (each, a “</w:t>
      </w:r>
      <w:r>
        <w:rPr>
          <w:rFonts w:ascii="Arial" w:cs="Arial" w:eastAsia="Arial" w:hAnsi="Arial"/>
          <w:sz w:val="16"/>
          <w:szCs w:val="16"/>
          <w:u w:val="single" w:color="auto"/>
          <w:color w:val="auto"/>
        </w:rPr>
        <w:t>Refinancing Effective Date</w:t>
      </w:r>
      <w:r>
        <w:rPr>
          <w:rFonts w:ascii="Arial" w:cs="Arial" w:eastAsia="Arial" w:hAnsi="Arial"/>
          <w:sz w:val="16"/>
          <w:szCs w:val="16"/>
          <w:color w:val="auto"/>
        </w:rPr>
        <w:t>”) on which the applicable Borrower proposes that the Refinancing Debt be made or the Refinancing Revolving Credit Commitments shall become effective, which shall be a date not less than three</w:t>
      </w:r>
    </w:p>
    <w:p>
      <w:pPr>
        <w:ind w:left="4" w:right="500" w:hanging="4"/>
        <w:spacing w:after="0" w:line="260" w:lineRule="auto"/>
        <w:tabs>
          <w:tab w:leader="none" w:pos="25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Business Days (or such shorter period as may be agreed to by the Administrative Agent) after the date on which such notice is delivered to the Administrative Agent.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4"/>
          </w:cols>
          <w:pgMar w:left="436" w:top="274" w:right="459" w:bottom="1440" w:gutter="0" w:footer="0" w:header="0"/>
        </w:sectPr>
      </w:pPr>
    </w:p>
    <w:bookmarkStart w:id="107" w:name="page108"/>
    <w:bookmarkEnd w:id="107"/>
    <w:p>
      <w:pPr>
        <w:ind w:right="20" w:firstLine="436"/>
        <w:spacing w:after="0" w:line="269" w:lineRule="auto"/>
        <w:tabs>
          <w:tab w:leader="none" w:pos="817" w:val="left"/>
        </w:tabs>
        <w:numPr>
          <w:ilvl w:val="0"/>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Borrowers may approach any Lender or any other Person that would be an Eligible Assignee of the applicable Class of Loans or Commitments pursuant to </w:t>
      </w:r>
      <w:r>
        <w:rPr>
          <w:rFonts w:ascii="Arial" w:cs="Arial" w:eastAsia="Arial" w:hAnsi="Arial"/>
          <w:sz w:val="17"/>
          <w:szCs w:val="17"/>
          <w:u w:val="single" w:color="auto"/>
          <w:color w:val="auto"/>
        </w:rPr>
        <w:t>Section 12.9(b)</w:t>
      </w:r>
      <w:r>
        <w:rPr>
          <w:rFonts w:ascii="Arial" w:cs="Arial" w:eastAsia="Arial" w:hAnsi="Arial"/>
          <w:sz w:val="17"/>
          <w:szCs w:val="17"/>
          <w:color w:val="auto"/>
        </w:rPr>
        <w:t xml:space="preserve"> to provide all or a portion of the Refinancing Term Loans or Refinancing Revolving Credit Commitments (a “</w:t>
      </w:r>
      <w:r>
        <w:rPr>
          <w:rFonts w:ascii="Arial" w:cs="Arial" w:eastAsia="Arial" w:hAnsi="Arial"/>
          <w:sz w:val="17"/>
          <w:szCs w:val="17"/>
          <w:u w:val="single" w:color="auto"/>
          <w:color w:val="auto"/>
        </w:rPr>
        <w:t>Refinancing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Lender offered or approached to provide all or a portion of the Refinancing Term Loans may elect or decline, in its sole discretion, to provide a Refinancing Term Loan or Refinancing Revolving Credit Commitment, as applicable. Any Refinancing Term Loans or Refinancing Revolving Credit Commitment made on any Refinancing Effective Date shall be designated a series (a “</w:t>
      </w:r>
      <w:r>
        <w:rPr>
          <w:rFonts w:ascii="Arial" w:cs="Arial" w:eastAsia="Arial" w:hAnsi="Arial"/>
          <w:sz w:val="17"/>
          <w:szCs w:val="17"/>
          <w:u w:val="single" w:color="auto"/>
          <w:color w:val="auto"/>
        </w:rPr>
        <w:t>Refinancing Series</w:t>
      </w:r>
      <w:r>
        <w:rPr>
          <w:rFonts w:ascii="Arial" w:cs="Arial" w:eastAsia="Arial" w:hAnsi="Arial"/>
          <w:sz w:val="17"/>
          <w:szCs w:val="17"/>
          <w:color w:val="auto"/>
        </w:rPr>
        <w:t xml:space="preserve">”) of Refinancing Term Loans or Refinancing Revolving Credit Commitments for all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Refinancing Term Loans may, to the extent provided in the applicable Refinancing Amendment, be designated as an increase in any previously established Refinancing Series of Refinancing Term Loans made to the applicable Borrower and (ii) any Refinancing Revolving Credit Commitments may, to the extent provided in the applicable Refinancing Amendment, be designated as an increase in any previously established Refinancing Series of Refinancing Revolving Credit Commitments.</w:t>
      </w:r>
    </w:p>
    <w:p>
      <w:pPr>
        <w:spacing w:after="0" w:line="185" w:lineRule="exact"/>
        <w:rPr>
          <w:rFonts w:ascii="Arial" w:cs="Arial" w:eastAsia="Arial" w:hAnsi="Arial"/>
          <w:sz w:val="17"/>
          <w:szCs w:val="17"/>
          <w:color w:val="auto"/>
        </w:rPr>
      </w:pPr>
    </w:p>
    <w:p>
      <w:pPr>
        <w:ind w:right="20" w:firstLine="436"/>
        <w:spacing w:after="0" w:line="284" w:lineRule="auto"/>
        <w:tabs>
          <w:tab w:leader="none" w:pos="82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Administrative Agent and the Lenders hereby consent to the transactions contemplated by this </w:t>
      </w:r>
      <w:r>
        <w:rPr>
          <w:rFonts w:ascii="Arial" w:cs="Arial" w:eastAsia="Arial" w:hAnsi="Arial"/>
          <w:sz w:val="16"/>
          <w:szCs w:val="16"/>
          <w:u w:val="single" w:color="auto"/>
          <w:color w:val="auto"/>
        </w:rPr>
        <w:t>Section 5.18</w:t>
      </w:r>
      <w:r>
        <w:rPr>
          <w:rFonts w:ascii="Arial" w:cs="Arial" w:eastAsia="Arial" w:hAnsi="Arial"/>
          <w:sz w:val="16"/>
          <w:szCs w:val="16"/>
          <w:color w:val="auto"/>
        </w:rPr>
        <w:t xml:space="preserve"> (including, for the avoidance of doubt, the payment of interest, fees, amortization or premium in respect of the Refinancing Term Loans and Refinancing Revolving Credit Commitments, and Refinancing Revolving Loans on the terms specified by the Borrowers) and hereby waive the requirements of this Agreement (including, but not limited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or any other Loan Document that may otherwise prohibit such Refinance or any other transaction contemplated by this </w:t>
      </w:r>
      <w:r>
        <w:rPr>
          <w:rFonts w:ascii="Arial" w:cs="Arial" w:eastAsia="Arial" w:hAnsi="Arial"/>
          <w:sz w:val="16"/>
          <w:szCs w:val="16"/>
          <w:u w:val="single" w:color="auto"/>
          <w:color w:val="auto"/>
        </w:rPr>
        <w:t>Section 5.18</w:t>
      </w:r>
      <w:r>
        <w:rPr>
          <w:rFonts w:ascii="Arial" w:cs="Arial" w:eastAsia="Arial" w:hAnsi="Arial"/>
          <w:sz w:val="16"/>
          <w:szCs w:val="16"/>
          <w:color w:val="auto"/>
        </w:rPr>
        <w:t>. The Refinancing Term Loans and Refinancing Revolving Credit Commitments shall be established pursuant to an amendment to this Agreement among the applicable Borrower and the applicable Refinancing Lenders providing such Refinancing Term Loans or Refinancing Revolving Credit Commitments (a “</w:t>
      </w:r>
      <w:r>
        <w:rPr>
          <w:rFonts w:ascii="Arial" w:cs="Arial" w:eastAsia="Arial" w:hAnsi="Arial"/>
          <w:sz w:val="16"/>
          <w:szCs w:val="16"/>
          <w:u w:val="single" w:color="auto"/>
          <w:color w:val="auto"/>
        </w:rPr>
        <w:t>Refinancing Amendment</w:t>
      </w:r>
      <w:r>
        <w:rPr>
          <w:rFonts w:ascii="Arial" w:cs="Arial" w:eastAsia="Arial" w:hAnsi="Arial"/>
          <w:sz w:val="16"/>
          <w:szCs w:val="16"/>
          <w:color w:val="auto"/>
        </w:rPr>
        <w:t xml:space="preserve">”) which shall be consistent with the provisions set forth in this </w:t>
      </w:r>
      <w:r>
        <w:rPr>
          <w:rFonts w:ascii="Arial" w:cs="Arial" w:eastAsia="Arial" w:hAnsi="Arial"/>
          <w:sz w:val="16"/>
          <w:szCs w:val="16"/>
          <w:u w:val="single" w:color="auto"/>
          <w:color w:val="auto"/>
        </w:rPr>
        <w:t>Section 5.18</w:t>
      </w:r>
      <w:r>
        <w:rPr>
          <w:rFonts w:ascii="Arial" w:cs="Arial" w:eastAsia="Arial" w:hAnsi="Arial"/>
          <w:sz w:val="16"/>
          <w:szCs w:val="16"/>
          <w:color w:val="auto"/>
        </w:rPr>
        <w:t>. The Refinancing Notes shall be established pursuant to documentation which shall be consistent with the provisions set forth in</w:t>
      </w:r>
    </w:p>
    <w:p>
      <w:pPr>
        <w:spacing w:after="0" w:line="285" w:lineRule="auto"/>
        <w:rPr>
          <w:rFonts w:ascii="Arial" w:cs="Arial" w:eastAsia="Arial" w:hAnsi="Arial"/>
          <w:sz w:val="16"/>
          <w:szCs w:val="16"/>
          <w:color w:val="auto"/>
        </w:rPr>
      </w:pPr>
      <w:r>
        <w:rPr>
          <w:rFonts w:ascii="Arial" w:cs="Arial" w:eastAsia="Arial" w:hAnsi="Arial"/>
          <w:sz w:val="16"/>
          <w:szCs w:val="16"/>
          <w:u w:val="single" w:color="auto"/>
          <w:color w:val="auto"/>
        </w:rPr>
        <w:t>Section 5.18(a)</w:t>
      </w:r>
      <w:r>
        <w:rPr>
          <w:rFonts w:ascii="Arial" w:cs="Arial" w:eastAsia="Arial" w:hAnsi="Arial"/>
          <w:sz w:val="16"/>
          <w:szCs w:val="16"/>
          <w:color w:val="auto"/>
        </w:rPr>
        <w:t xml:space="preserve">. Each Refinancing Amendment shall be binding on the Lenders, the Administrative Agent, the Credit Parties party thereto and the other parties hereto without the consent of any other Lender (except with respect to Refinancing Revolving Credit Commitments as provided above) and the Lenders hereby irrevocably authorize the Administrative Agent to enter into amendments to this Agreement and the other Loan Documents as may be necessary or appropriate in the reasonable opinion of the Administrative Agent and the Borrowers, to effect the provisions of this </w:t>
      </w:r>
      <w:r>
        <w:rPr>
          <w:rFonts w:ascii="Arial" w:cs="Arial" w:eastAsia="Arial" w:hAnsi="Arial"/>
          <w:sz w:val="16"/>
          <w:szCs w:val="16"/>
          <w:u w:val="single" w:color="auto"/>
          <w:color w:val="auto"/>
        </w:rPr>
        <w:t>Section 5.18</w:t>
      </w:r>
      <w:r>
        <w:rPr>
          <w:rFonts w:ascii="Arial" w:cs="Arial" w:eastAsia="Arial" w:hAnsi="Arial"/>
          <w:sz w:val="16"/>
          <w:szCs w:val="16"/>
          <w:color w:val="auto"/>
        </w:rPr>
        <w:t xml:space="preserve">, including in order to establish new tranches or sub-tranches in respect of the Refinancing Term Loans or Refinancing Revolving Credit Commitments and Refinancing Revolving Loans and such technical amendments as may be necessary or appropriate in connection therewith and to adjust the amortization schedule in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(insofar as such schedule relates to payments due to Lenders, the Term Loans of which are Refinanced;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reduce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any such payment that would have otherwise been payable to the Lenders, the Term Loans of which are not Refinanced). The Administrative Agent shall be permitted, and is hereby authorized, to enter into such Refinancing Amendments with the Borrowers to effect the foregoing. The effectiveness of any Refinancing Amendment shall be subject to the satisfaction on the date thereof of conditions as may be required by the Refinancing Lenders providing such Refinancing Amendment.</w:t>
      </w:r>
    </w:p>
    <w:p>
      <w:pPr>
        <w:spacing w:after="0" w:line="174" w:lineRule="exact"/>
        <w:rPr>
          <w:rFonts w:ascii="Arial" w:cs="Arial" w:eastAsia="Arial" w:hAnsi="Arial"/>
          <w:sz w:val="16"/>
          <w:szCs w:val="16"/>
          <w:color w:val="auto"/>
        </w:rPr>
      </w:pPr>
    </w:p>
    <w:p>
      <w:pPr>
        <w:ind w:right="80" w:firstLine="436"/>
        <w:spacing w:after="0" w:line="254" w:lineRule="auto"/>
        <w:tabs>
          <w:tab w:leader="none" w:pos="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any Refinancing Revolving Credit Commitment is designated as an increase in any previously established Refinancing Revolving Credit Commitment, on the Refinancing Effective Date, subject to the satisfaction of the foregoing terms and conditions, each of the Refinancing Lenders with Refinancing Revolving Credit Commitments of such Refinancing Series shall purchase from each of the other Lenders with Refinancing Revolving Credit Commitments of such Refinancing Series, at the principal amount thereof and in the applicable currencies, such interests in the Revolving Credit Loans under such Refinancing Revolving Credit Commitments outstanding immediately prior to such Refinancing as shall be necessary in order that, after giving effect to all such assignments and purchases, the Refinancing Revolving Loans of such Refinancing Series will be held by Refinancing Lenders thereunder ratably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4" w:right="439" w:bottom="1440" w:gutter="0" w:footer="0" w:header="0"/>
        </w:sectPr>
      </w:pPr>
    </w:p>
    <w:bookmarkStart w:id="108" w:name="page109"/>
    <w:bookmarkEnd w:id="108"/>
    <w:p>
      <w:pPr>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accordance with the percentage of the total Refinancing Revolving Credit Commitments of all Refinancing Lenders represented by each such Refinancing Lender’s Refinancing Revolving Credit Commitment. After giving effect to any Refinancing Revolving Credit Commitments, all outstanding Swingline Loans and Letters of Credit shall be participated on a pro rata basis by all Lenders with a Revolving Credit Commitment in accordance with their revised Revolving Credit Commitment Percentages.</w:t>
      </w:r>
    </w:p>
    <w:p>
      <w:pPr>
        <w:spacing w:after="0" w:line="187" w:lineRule="exact"/>
        <w:rPr>
          <w:sz w:val="20"/>
          <w:szCs w:val="20"/>
          <w:color w:val="auto"/>
        </w:rPr>
      </w:pPr>
    </w:p>
    <w:p>
      <w:pPr>
        <w:ind w:right="20" w:firstLine="436"/>
        <w:spacing w:after="0" w:line="289" w:lineRule="auto"/>
        <w:tabs>
          <w:tab w:leader="none" w:pos="79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Administrative Agent is authorized to enter into any Acceptable Intercreditor Agreement (and any amendments, amendments and restatements, restatements or waivers of or supplements to or other modifications to, such agreements) and to take all actions (and execute all documents) required (or otherwise deemed advisable by the Administrative Agent) in connection with the incurrence by any Credit Party of any Refinancing Debt, in order to permit such Refinancing Debt to be secured by a valid, perfected lien and the parties hereto acknowledge that any Acceptable Intercreditor Agreement will be binding upon them. Each Lender (i) hereby agrees that it will be bound by and will take no actions contrary to the provisions of any Acceptable Intercreditor Agreement and (ii) hereby authorizes and instructs the Administrative Agent to enter into any Acceptable Intercreditor Agreement (and any amendments, amendments and restatements, restatements or waivers of or supplements to or other modifications to, such agreements) in connection with the incurrence by any Credit Party of any Refinancing Debt, in order to permit such Refinancing Debt to be secured by a valid, perfected lien and to subject the Liens on the Collateral securing the Secured Obligations to the provisions thereof.</w:t>
      </w:r>
    </w:p>
    <w:p>
      <w:pPr>
        <w:spacing w:after="0" w:line="166" w:lineRule="exact"/>
        <w:rPr>
          <w:rFonts w:ascii="Arial" w:cs="Arial" w:eastAsia="Arial" w:hAnsi="Arial"/>
          <w:sz w:val="16"/>
          <w:szCs w:val="16"/>
          <w:color w:val="auto"/>
        </w:rPr>
      </w:pPr>
    </w:p>
    <w:p>
      <w:pPr>
        <w:ind w:right="60" w:firstLine="436"/>
        <w:spacing w:after="0" w:line="259" w:lineRule="auto"/>
        <w:tabs>
          <w:tab w:leader="none" w:pos="83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Notwithstanding the terms of </w:t>
      </w:r>
      <w:r>
        <w:rPr>
          <w:rFonts w:ascii="Arial" w:cs="Arial" w:eastAsia="Arial" w:hAnsi="Arial"/>
          <w:sz w:val="18"/>
          <w:szCs w:val="18"/>
          <w:u w:val="single" w:color="auto"/>
          <w:color w:val="auto"/>
        </w:rPr>
        <w:t>Sections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w:t>
      </w:r>
      <w:r>
        <w:rPr>
          <w:rFonts w:ascii="Arial" w:cs="Arial" w:eastAsia="Arial" w:hAnsi="Arial"/>
          <w:sz w:val="18"/>
          <w:szCs w:val="18"/>
          <w:color w:val="auto"/>
        </w:rPr>
        <w:t>,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5.19</w:t>
      </w:r>
      <w:r>
        <w:rPr>
          <w:sz w:val="20"/>
          <w:szCs w:val="20"/>
          <w:color w:val="auto"/>
        </w:rPr>
        <w:tab/>
      </w:r>
      <w:r>
        <w:rPr>
          <w:rFonts w:ascii="Arial" w:cs="Arial" w:eastAsia="Arial" w:hAnsi="Arial"/>
          <w:sz w:val="16"/>
          <w:szCs w:val="16"/>
          <w:u w:val="single" w:color="auto"/>
          <w:color w:val="auto"/>
        </w:rPr>
        <w:t>Amend and Extend Transactions</w:t>
      </w:r>
      <w:r>
        <w:rPr>
          <w:rFonts w:ascii="Arial" w:cs="Arial" w:eastAsia="Arial" w:hAnsi="Arial"/>
          <w:sz w:val="16"/>
          <w:szCs w:val="16"/>
          <w:color w:val="auto"/>
        </w:rPr>
        <w:t>.</w:t>
      </w:r>
    </w:p>
    <w:p>
      <w:pPr>
        <w:spacing w:after="0" w:line="117" w:lineRule="exact"/>
        <w:rPr>
          <w:sz w:val="20"/>
          <w:szCs w:val="20"/>
          <w:color w:val="auto"/>
        </w:rPr>
      </w:pPr>
    </w:p>
    <w:p>
      <w:pPr>
        <w:ind w:right="20" w:firstLine="436"/>
        <w:spacing w:after="0" w:line="286" w:lineRule="auto"/>
        <w:tabs>
          <w:tab w:leader="none" w:pos="81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Borrowers may, by written notice to the Administrative Agent from time to time, request an extension (each, an “</w:t>
      </w:r>
      <w:r>
        <w:rPr>
          <w:rFonts w:ascii="Arial" w:cs="Arial" w:eastAsia="Arial" w:hAnsi="Arial"/>
          <w:sz w:val="16"/>
          <w:szCs w:val="16"/>
          <w:u w:val="single" w:color="auto"/>
          <w:color w:val="auto"/>
        </w:rPr>
        <w:t>Extension</w:t>
      </w:r>
      <w:r>
        <w:rPr>
          <w:rFonts w:ascii="Arial" w:cs="Arial" w:eastAsia="Arial" w:hAnsi="Arial"/>
          <w:sz w:val="16"/>
          <w:szCs w:val="16"/>
          <w:color w:val="auto"/>
        </w:rPr>
        <w:t>”) of the maturity date of any Class of Term Loans with a like maturity date or Revolving Credit Commitments with a like maturity date. Such notice shall (i) set forth the amount of the applicable Class of Revolving Credit Commitments and/or Term Loans that will be subject to the Extension (which shall be in a minimum amount of $25,000,000 and minimum increments of $5,000,000), (ii) set forth the date on which such Extension is requested to become effective (which shall be not less than ten (10) Business Days nor more than sixty (60) days after the date of such Extension notice (or such longer or shorter periods as the Administrative Agent shall agree in its sole discretion)) and (iii) identify the relevant Class of Revolving Credit Commitments and/or Term Loans to which such Extension relates. Each Lender of the applicable Class shall be offered (an “</w:t>
      </w:r>
      <w:r>
        <w:rPr>
          <w:rFonts w:ascii="Arial" w:cs="Arial" w:eastAsia="Arial" w:hAnsi="Arial"/>
          <w:sz w:val="16"/>
          <w:szCs w:val="16"/>
          <w:u w:val="single" w:color="auto"/>
          <w:color w:val="auto"/>
        </w:rPr>
        <w:t>Extension Offer</w:t>
      </w:r>
      <w:r>
        <w:rPr>
          <w:rFonts w:ascii="Arial" w:cs="Arial" w:eastAsia="Arial" w:hAnsi="Arial"/>
          <w:sz w:val="16"/>
          <w:szCs w:val="16"/>
          <w:color w:val="auto"/>
        </w:rPr>
        <w:t xml:space="preserve">”) an opportunity to participate in such Extension on a pro rata basis and on the same terms and conditions as each other Lender of such Class pursuant to procedures established by, or reasonably acceptable to, the Administrative Agent and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will be required or otherwise obligated to participate in such Extension. If the aggregate principal amount of Revolving Credit Commitments or Term Loans in respect of which Lenders shall have accepted the relevant Extension Offer shall exceed the maximum aggregate principal amount of Revolving Credit Commitments or Term Loans, as applicable, subject to the Extension Offer as set forth in the Extension notice, then the Revolving Credit Commitments or Term Loans, as applicable, of Lenders of the applicable Class shall be extended ratably up to such maximum amount based on the respective principal amounts with respect to which such Lenders have accepted such Extension Offer.</w:t>
      </w:r>
    </w:p>
    <w:p>
      <w:pPr>
        <w:spacing w:after="0" w:line="170" w:lineRule="exact"/>
        <w:rPr>
          <w:rFonts w:ascii="Arial" w:cs="Arial" w:eastAsia="Arial" w:hAnsi="Arial"/>
          <w:sz w:val="16"/>
          <w:szCs w:val="16"/>
          <w:color w:val="auto"/>
        </w:rPr>
      </w:pPr>
    </w:p>
    <w:p>
      <w:pPr>
        <w:ind w:firstLine="436"/>
        <w:spacing w:after="0" w:line="277" w:lineRule="auto"/>
        <w:tabs>
          <w:tab w:leader="none" w:pos="82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following shall be conditions precedent to the effectiveness of any Extension: (i) no Default or Event of Default shall have occurred and be continuing immediately prior to and immediately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40"/>
          </w:cols>
          <w:pgMar w:left="440" w:top="274" w:right="519" w:bottom="1440" w:gutter="0" w:footer="0" w:header="0"/>
        </w:sectPr>
      </w:pPr>
    </w:p>
    <w:bookmarkStart w:id="109" w:name="page110"/>
    <w:bookmarkEnd w:id="109"/>
    <w:p>
      <w:pPr>
        <w:ind w:left="4"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giving effect to such Extension, (ii) the representations and warranties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in each other Loan Document shall be deemed to be made and shall be true and correct in all material respects on and as of the effective date of such Extension, (iii) the Issuing Lenders and the Swingline Lender shall have consented to any Extension of the Revolving Credit Commitments, to the extent that such Extension provides for the issuance or extension of Letters of Credit or making of Swingline Loans at any time during the extended period and (iv) the terms of such Extended Revolving Credit Commitments and Extended Term Loans shall comply with paragraph (c) of this Section.</w:t>
      </w:r>
    </w:p>
    <w:p>
      <w:pPr>
        <w:spacing w:after="0" w:line="176" w:lineRule="exact"/>
        <w:rPr>
          <w:sz w:val="20"/>
          <w:szCs w:val="20"/>
          <w:color w:val="auto"/>
        </w:rPr>
      </w:pPr>
    </w:p>
    <w:p>
      <w:pPr>
        <w:ind w:left="4" w:firstLine="436"/>
        <w:spacing w:after="0" w:line="283" w:lineRule="auto"/>
        <w:tabs>
          <w:tab w:leader="none" w:pos="821"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The terms of each Extension shall be determined by the Borrowers and the applicable extending Lenders and set forth in an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final maturity date of any Extended Revolving Credit Commitment or Extended Term Loan shall be no earlier than the Revolving Credit Maturity Date or the Term Loan Maturity Date, respectively, (ii)(A) there shall be no scheduled amortization of the loans or reductions of commitments under any Extended Revolving Credit Commitments and (B) the Weighted Average Life to Maturity of the Extended Term Loans shall be no shorter than the remaining Weighted Average Life to Maturity of the existing Term Loans, (iii) the Extended Revolving Credit Loans and the Extended Term Loans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and with respect to security with the existing Revolving Credit Loans and the existing Term Loans and the borrower and guarantors of the Extended Revolving Credit Commitments or Extended Term Loans, as applicable, shall be the same as the Borrowers and Subsidiary Guarantors with respect to the existing Revolving Credit Loans or Term Loans, as applicable, (iv) the interest rate margin, rate floors, fees, original issue discount and premium applicable to any Extended Revolving Credit Commitment (and the Extended Revolving Credit Loans thereunder) and Extended Term Loans shall be determined by the Borrowers and the applicable extending Lenders, (v)(A) the Extended Term Loans may participate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or less than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(but not greater than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in mandatory prepayments with the other Term Loans and (B) borrowing and prepayment of Extended Revolving Credit Loans, or reductions of Extended Revolving Credit Commitments, and participation in Letters of Credit and Swingline Loans, shall be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with the other Revolving Credit Loans or Revolving Credit Commitments (other than upon the maturity of the non-extended Revolving Credit Loans and Revolving Credit Commitments) and (vi) the terms of the Extended Revolving Credit Commitments or Extended Term Loans, as applicable, shall be substantially identical to the terms set forth herein (except as set forth in clauses</w:t>
      </w:r>
    </w:p>
    <w:p>
      <w:pPr>
        <w:ind w:left="224" w:hanging="224"/>
        <w:spacing w:after="0"/>
        <w:tabs>
          <w:tab w:leader="none" w:pos="2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through (v) above).</w:t>
      </w:r>
    </w:p>
    <w:p>
      <w:pPr>
        <w:spacing w:after="0" w:line="210" w:lineRule="exact"/>
        <w:rPr>
          <w:rFonts w:ascii="Arial" w:cs="Arial" w:eastAsia="Arial" w:hAnsi="Arial"/>
          <w:sz w:val="18"/>
          <w:szCs w:val="18"/>
          <w:color w:val="auto"/>
        </w:rPr>
      </w:pPr>
    </w:p>
    <w:p>
      <w:pPr>
        <w:ind w:left="4" w:right="20" w:firstLine="436"/>
        <w:spacing w:after="0" w:line="269" w:lineRule="auto"/>
        <w:tabs>
          <w:tab w:leader="none" w:pos="83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In connection with any Extension, the Borrowers,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Borrowers, to implement the terms of any such Extension, including any amendments necessary to establish Extended Revolving Credit Commitments or Extended Term Loans as a new Class or tranche of Revolving Credit Commitments or Term Loans, as applicable, and such other technical amendments as may be necessary or appropriate in the reasonable opinion of the Administrative Agent and the Borrowers in connection with the establishment of such new Class or tranche (including to preserve the pro rata treatment of the extended and non-extended Classes or tranches and to provide for the reallocation of Revolving Credit Exposure upon the expiration or termination of the commitments under any Class or tranche), in each case on terms consistent with this section.</w:t>
      </w:r>
    </w:p>
    <w:p>
      <w:pPr>
        <w:spacing w:after="0" w:line="185" w:lineRule="exact"/>
        <w:rPr>
          <w:rFonts w:ascii="Arial" w:cs="Arial" w:eastAsia="Arial" w:hAnsi="Arial"/>
          <w:sz w:val="17"/>
          <w:szCs w:val="17"/>
          <w:color w:val="auto"/>
        </w:rPr>
      </w:pPr>
    </w:p>
    <w:p>
      <w:pPr>
        <w:ind w:left="4" w:right="120" w:firstLine="436"/>
        <w:spacing w:after="0" w:line="259" w:lineRule="auto"/>
        <w:tabs>
          <w:tab w:leader="none" w:pos="82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Notwithstanding the terms of </w:t>
      </w:r>
      <w:r>
        <w:rPr>
          <w:rFonts w:ascii="Arial" w:cs="Arial" w:eastAsia="Arial" w:hAnsi="Arial"/>
          <w:sz w:val="18"/>
          <w:szCs w:val="18"/>
          <w:u w:val="single" w:color="auto"/>
          <w:color w:val="auto"/>
        </w:rPr>
        <w:t>Sections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w:t>
      </w:r>
      <w:r>
        <w:rPr>
          <w:rFonts w:ascii="Arial" w:cs="Arial" w:eastAsia="Arial" w:hAnsi="Arial"/>
          <w:sz w:val="18"/>
          <w:szCs w:val="18"/>
          <w:color w:val="auto"/>
        </w:rPr>
        <w:t>, in no event shall there be more than (i) two (2) tranches of revolving facilities in the aggregate in effect at any time (including the Revolving Credit Commitments, any Extended Revolving Credit Commitments and any Refinancing Revolving Credit Commitments) and (ii) four (4) tranches of term loans (including the Initial Term Loan, any Extended Term Loans, any Incremental Term Loans and any Refinancing Term Loans), in each case under this Agreement.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4"/>
          </w:cols>
          <w:pgMar w:left="436" w:top="274" w:right="4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OF CLOSING AND BORROWING</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Closing and Initial Extensions of Credit</w:t>
      </w:r>
      <w:r>
        <w:rPr>
          <w:rFonts w:ascii="Arial" w:cs="Arial" w:eastAsia="Arial" w:hAnsi="Arial"/>
          <w:sz w:val="18"/>
          <w:szCs w:val="18"/>
          <w:color w:val="auto"/>
        </w:rPr>
        <w:t>. The obligation of the Lenders to close this Agreement and to make the initial Loans or issue or participate in the initial Letter of Credit, if any, on the Closing Date is subject to the satisfaction of each of the following conditions:</w:t>
      </w:r>
    </w:p>
    <w:p>
      <w:pPr>
        <w:spacing w:after="0" w:line="184" w:lineRule="exact"/>
        <w:rPr>
          <w:sz w:val="20"/>
          <w:szCs w:val="20"/>
          <w:color w:val="auto"/>
        </w:rPr>
      </w:pPr>
    </w:p>
    <w:p>
      <w:pPr>
        <w:ind w:firstLine="436"/>
        <w:spacing w:after="0" w:line="255" w:lineRule="auto"/>
        <w:tabs>
          <w:tab w:leader="none" w:pos="8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Executed Loan Documents</w:t>
      </w:r>
      <w:r>
        <w:rPr>
          <w:rFonts w:ascii="Arial" w:cs="Arial" w:eastAsia="Arial" w:hAnsi="Arial"/>
          <w:sz w:val="18"/>
          <w:szCs w:val="18"/>
          <w:color w:val="auto"/>
        </w:rPr>
        <w:t>. This Agreement, a US Revolving Credit Note and a Canadian Revolving Credit Note in favor of each Revolving Credit Lender requesting a US Revolving Credit Note and a Canadian Revolving Credit Note, a US Term Loan Note and a Canadian Term Loan Note in favor of each Term Loan Lender requesting a US Term Loan Note, a US Swingline Note in favor of the Swingline Lender and a Canadian Swingline Note in favor of the Swingline Lender (in each case, if requested thereby), the Security Documents and the Guaranty Agreements, together with any other applicable Loan Documents, shall have been duly authorized, executed and delivered to the Administrative Agent by the parties thereto, shall be in full force and effect.</w:t>
      </w:r>
    </w:p>
    <w:p>
      <w:pPr>
        <w:spacing w:after="0" w:line="192" w:lineRule="exact"/>
        <w:rPr>
          <w:rFonts w:ascii="Arial" w:cs="Arial" w:eastAsia="Arial" w:hAnsi="Arial"/>
          <w:sz w:val="18"/>
          <w:szCs w:val="18"/>
          <w:color w:val="auto"/>
        </w:rPr>
      </w:pPr>
    </w:p>
    <w:p>
      <w:pPr>
        <w:ind w:right="100" w:firstLine="436"/>
        <w:spacing w:after="0" w:line="277" w:lineRule="auto"/>
        <w:tabs>
          <w:tab w:leader="none" w:pos="83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Closing Certificates; Etc.</w:t>
      </w:r>
      <w:r>
        <w:rPr>
          <w:rFonts w:ascii="Arial" w:cs="Arial" w:eastAsia="Arial" w:hAnsi="Arial"/>
          <w:sz w:val="18"/>
          <w:szCs w:val="18"/>
          <w:color w:val="auto"/>
        </w:rPr>
        <w:t xml:space="preserve"> The Administrative Agent shall have received each of the following in form and substance reasonably satisfactory to the Administrative Agent:</w:t>
      </w:r>
    </w:p>
    <w:p>
      <w:pPr>
        <w:spacing w:after="0" w:line="62" w:lineRule="exact"/>
        <w:rPr>
          <w:rFonts w:ascii="Arial" w:cs="Arial" w:eastAsia="Arial" w:hAnsi="Arial"/>
          <w:sz w:val="18"/>
          <w:szCs w:val="18"/>
          <w:color w:val="auto"/>
        </w:rPr>
      </w:pPr>
    </w:p>
    <w:p>
      <w:pPr>
        <w:ind w:left="440" w:firstLine="419"/>
        <w:spacing w:after="0" w:line="271" w:lineRule="auto"/>
        <w:tabs>
          <w:tab w:leader="none" w:pos="1213"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xml:space="preserve">. A certificate from a Responsible Officer of Centuri to the effect that (A) all representations and warranties of the Credit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only representations and warranties under this Agreement or any other Loan Document the accuracy of which shall be a condition to the availability of the initial Extensions of Credit on the Closing Date shall be the Specified Representations; (B) the condition set forth in </w:t>
      </w:r>
      <w:r>
        <w:rPr>
          <w:rFonts w:ascii="Arial" w:cs="Arial" w:eastAsia="Arial" w:hAnsi="Arial"/>
          <w:sz w:val="17"/>
          <w:szCs w:val="17"/>
          <w:u w:val="single" w:color="auto"/>
          <w:color w:val="auto"/>
        </w:rPr>
        <w:t>Section 6.1(f)(iv)</w:t>
      </w:r>
      <w:r>
        <w:rPr>
          <w:rFonts w:ascii="Arial" w:cs="Arial" w:eastAsia="Arial" w:hAnsi="Arial"/>
          <w:sz w:val="17"/>
          <w:szCs w:val="17"/>
          <w:color w:val="auto"/>
        </w:rPr>
        <w:t xml:space="preserve"> is satisfied; (C) attached thereto is a true and correct copy of the Drum Merger Agreement as in effect on the Closing Date; and (D) each of the Credit Parties, as applicable, has satisfied each of the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40" w:right="80" w:firstLine="419"/>
        <w:spacing w:after="0" w:line="270" w:lineRule="auto"/>
        <w:tabs>
          <w:tab w:leader="none" w:pos="1263"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Officer’s Certificate of each Credit Party</w:t>
      </w:r>
      <w:r>
        <w:rPr>
          <w:rFonts w:ascii="Arial" w:cs="Arial" w:eastAsia="Arial" w:hAnsi="Arial"/>
          <w:sz w:val="17"/>
          <w:szCs w:val="17"/>
          <w:color w:val="auto"/>
        </w:rPr>
        <w:t xml:space="preserve">.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and in the case of the US Credit Parties only, certified as of a recent date by the appropriate Governmental Authority in its jurisdiction of incorporation, organization or formation (or equivalent), as applicable, (B) the bylaws or other governing document of such Credit Party as in effect on the Closing Date, (C)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with respect to the US Credit Parties only, each certificate required to be delivered pursuant to </w:t>
      </w:r>
      <w:r>
        <w:rPr>
          <w:rFonts w:ascii="Arial" w:cs="Arial" w:eastAsia="Arial" w:hAnsi="Arial"/>
          <w:sz w:val="17"/>
          <w:szCs w:val="17"/>
          <w:u w:val="single" w:color="auto"/>
          <w:color w:val="auto"/>
        </w:rPr>
        <w:t>Section 6.1(b)(iii)</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440" w:right="760" w:firstLine="419"/>
        <w:spacing w:after="0" w:line="277" w:lineRule="auto"/>
        <w:tabs>
          <w:tab w:leader="none" w:pos="1313"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Certificates of Good Standing</w:t>
      </w:r>
      <w:r>
        <w:rPr>
          <w:rFonts w:ascii="Arial" w:cs="Arial" w:eastAsia="Arial" w:hAnsi="Arial"/>
          <w:sz w:val="18"/>
          <w:szCs w:val="18"/>
          <w:color w:val="auto"/>
        </w:rPr>
        <w:t>. Certificates as of a recent date of the good standing of each Credit Party under the laws of its jurisdiction of incorporation, organization or formation (or equivalent),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11" w:name="page112"/>
    <w:bookmarkEnd w:id="111"/>
    <w:p>
      <w:pPr>
        <w:ind w:left="4" w:right="80" w:firstLine="419"/>
        <w:spacing w:after="0" w:line="263" w:lineRule="auto"/>
        <w:tabs>
          <w:tab w:leader="none" w:pos="866"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Opinions of Counsel</w:t>
      </w:r>
      <w:r>
        <w:rPr>
          <w:rFonts w:ascii="Arial" w:cs="Arial" w:eastAsia="Arial" w:hAnsi="Arial"/>
          <w:sz w:val="18"/>
          <w:szCs w:val="18"/>
          <w:color w:val="auto"/>
        </w:rPr>
        <w:t>. Opinions of counsel to the Credit Parties addressed to the Administrative Agent and the Lenders with respect to the Credit Parties, the Loan Documents and such other matters as the Administrative Agent shall reasonably request (which such opinions shall expressly permit reliance by permitted successors and assigns of the addressees thereof).</w:t>
      </w:r>
    </w:p>
    <w:p>
      <w:pPr>
        <w:spacing w:after="0" w:line="291" w:lineRule="exact"/>
        <w:rPr>
          <w:rFonts w:ascii="Arial" w:cs="Arial" w:eastAsia="Arial" w:hAnsi="Arial"/>
          <w:sz w:val="18"/>
          <w:szCs w:val="18"/>
          <w:color w:val="auto"/>
        </w:rPr>
      </w:pPr>
    </w:p>
    <w:p>
      <w:pPr>
        <w:ind w:left="384" w:hanging="384"/>
        <w:spacing w:after="0"/>
        <w:tabs>
          <w:tab w:leader="none" w:pos="38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Personal Property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300" w:firstLine="419"/>
        <w:spacing w:after="0" w:line="279" w:lineRule="auto"/>
        <w:tabs>
          <w:tab w:leader="none" w:pos="776"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Filings and Recordings</w:t>
      </w:r>
      <w:r>
        <w:rPr>
          <w:rFonts w:ascii="Arial" w:cs="Arial" w:eastAsia="Arial" w:hAnsi="Arial"/>
          <w:sz w:val="17"/>
          <w:szCs w:val="17"/>
          <w:color w:val="auto"/>
        </w:rPr>
        <w:t>. The Administrative Agent shall have received all filings and recordations that are necessary to perfect the security interests of the Administrative Agent, on behalf of the US Secured Parties and the Canadian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63" w:lineRule="exact"/>
        <w:rPr>
          <w:rFonts w:ascii="Arial" w:cs="Arial" w:eastAsia="Arial" w:hAnsi="Arial"/>
          <w:sz w:val="17"/>
          <w:szCs w:val="17"/>
          <w:color w:val="auto"/>
        </w:rPr>
      </w:pPr>
    </w:p>
    <w:p>
      <w:pPr>
        <w:ind w:left="4" w:right="360" w:firstLine="419"/>
        <w:spacing w:after="0" w:line="301" w:lineRule="auto"/>
        <w:tabs>
          <w:tab w:leader="none" w:pos="826"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Pledged Collateral</w:t>
      </w:r>
      <w:r>
        <w:rPr>
          <w:rFonts w:ascii="Arial" w:cs="Arial" w:eastAsia="Arial" w:hAnsi="Arial"/>
          <w:sz w:val="16"/>
          <w:szCs w:val="16"/>
          <w:color w:val="auto"/>
        </w:rPr>
        <w:t xml:space="preserve">. The Administrative Agent shall have received, subject to </w:t>
      </w:r>
      <w:r>
        <w:rPr>
          <w:rFonts w:ascii="Arial" w:cs="Arial" w:eastAsia="Arial" w:hAnsi="Arial"/>
          <w:sz w:val="16"/>
          <w:szCs w:val="16"/>
          <w:u w:val="single" w:color="auto"/>
          <w:color w:val="auto"/>
        </w:rPr>
        <w:t>Section 8.19</w:t>
      </w:r>
      <w:r>
        <w:rPr>
          <w:rFonts w:ascii="Arial" w:cs="Arial" w:eastAsia="Arial" w:hAnsi="Arial"/>
          <w:sz w:val="16"/>
          <w:szCs w:val="16"/>
          <w:color w:val="auto"/>
        </w:rPr>
        <w:t>,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pledged pursuant to the Security Documents together with an undated allonge for each such promissory note duly executed in blank by the holder thereof.</w:t>
      </w:r>
    </w:p>
    <w:p>
      <w:pPr>
        <w:spacing w:after="0" w:line="49" w:lineRule="exact"/>
        <w:rPr>
          <w:rFonts w:ascii="Arial" w:cs="Arial" w:eastAsia="Arial" w:hAnsi="Arial"/>
          <w:sz w:val="16"/>
          <w:szCs w:val="16"/>
          <w:color w:val="auto"/>
        </w:rPr>
      </w:pPr>
    </w:p>
    <w:p>
      <w:pPr>
        <w:ind w:left="4" w:firstLine="419"/>
        <w:spacing w:after="0" w:line="259" w:lineRule="auto"/>
        <w:tabs>
          <w:tab w:leader="none" w:pos="876"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Lien Search</w:t>
      </w:r>
      <w:r>
        <w:rPr>
          <w:rFonts w:ascii="Arial" w:cs="Arial" w:eastAsia="Arial" w:hAnsi="Arial"/>
          <w:sz w:val="18"/>
          <w:szCs w:val="18"/>
          <w:color w:val="auto"/>
        </w:rPr>
        <w:t>. The Administrative Agent shall have received the results of customary Lien searches (including UCC and PPSA searches and a search as to bankruptcy, tax and intellectual property matters as applicable), in form and substance reasonably satisfactory thereto, made against the Credit Parties, indicating among other things that the assets of each such Credit Party are free and clear of any Lien (except for Permitted Liens).</w:t>
      </w:r>
    </w:p>
    <w:p>
      <w:pPr>
        <w:spacing w:after="0" w:line="186" w:lineRule="exact"/>
        <w:rPr>
          <w:rFonts w:ascii="Arial" w:cs="Arial" w:eastAsia="Arial" w:hAnsi="Arial"/>
          <w:sz w:val="18"/>
          <w:szCs w:val="18"/>
          <w:color w:val="auto"/>
        </w:rPr>
      </w:pPr>
    </w:p>
    <w:p>
      <w:pPr>
        <w:ind w:left="384" w:hanging="384"/>
        <w:spacing w:after="0"/>
        <w:tabs>
          <w:tab w:leader="none" w:pos="38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384" w:hanging="384"/>
        <w:spacing w:after="0"/>
        <w:tabs>
          <w:tab w:leader="none" w:pos="38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Financial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419"/>
        <w:spacing w:after="0" w:line="286" w:lineRule="auto"/>
        <w:tabs>
          <w:tab w:leader="none" w:pos="776"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Agents shall have received (A) the audited Consolidated balance sheet of Centuri and its Subsidiaries for the Fiscal Year ended on December 31, 2020 and the related audited statements of income and retained earnings and cash flows for each such Fiscal Year, (B) an unaudited Consolidated balance sheet of Centuri and its Subsidiaries for the fiscal quarter ended on June 30, 2021 and related statements of operations for the six-month period then ended and such financial statements described in this clause (B) are publicly available,</w:t>
      </w:r>
    </w:p>
    <w:p>
      <w:pPr>
        <w:spacing w:after="0" w:line="1" w:lineRule="exact"/>
        <w:rPr>
          <w:rFonts w:ascii="Arial" w:cs="Arial" w:eastAsia="Arial" w:hAnsi="Arial"/>
          <w:sz w:val="16"/>
          <w:szCs w:val="16"/>
          <w:color w:val="auto"/>
        </w:rPr>
      </w:pPr>
    </w:p>
    <w:p>
      <w:pPr>
        <w:ind w:left="4" w:right="60"/>
        <w:spacing w:after="0" w:line="269" w:lineRule="auto"/>
        <w:rPr>
          <w:rFonts w:ascii="Arial" w:cs="Arial" w:eastAsia="Arial" w:hAnsi="Arial"/>
          <w:sz w:val="16"/>
          <w:szCs w:val="16"/>
          <w:color w:val="auto"/>
        </w:rPr>
      </w:pPr>
      <w:r>
        <w:rPr>
          <w:rFonts w:ascii="Arial" w:cs="Arial" w:eastAsia="Arial" w:hAnsi="Arial"/>
          <w:sz w:val="17"/>
          <w:szCs w:val="17"/>
          <w:color w:val="auto"/>
        </w:rPr>
        <w:t>(C) unaudited Consolidated balance sheets and the related Consolidated statements of income and cash flows of Centuri and its Subsidiaries for each interim fiscal quarter ended after June 30, 2021 and at least 45 days prior to the Closing Date, (D) the audited Consolidated balance sheet of Drum and its Subsidiaries for the fiscal years ended December 31, 2020 and December 31, 2019 and the related audited statements of income and retained earnings and cash flows for each such fiscal year, (E) an unaudited Consolidated balance sheet of Drum and its Subsidiaries for the fiscal quarter ended on June 30, 2021 and related statements of operations for the six-month period then ended and (F) unaudited Consolidated balance sheets and the related Consolidated statements of income and cash flows of Drum and its Subsidiaries for each interim fiscal quarter ended after June 30, 2021 and at least 45 days prior to the Closing Date.</w:t>
      </w:r>
    </w:p>
    <w:p>
      <w:pPr>
        <w:spacing w:after="0" w:line="72" w:lineRule="exact"/>
        <w:rPr>
          <w:rFonts w:ascii="Arial" w:cs="Arial" w:eastAsia="Arial" w:hAnsi="Arial"/>
          <w:sz w:val="16"/>
          <w:szCs w:val="16"/>
          <w:color w:val="auto"/>
        </w:rPr>
      </w:pPr>
    </w:p>
    <w:p>
      <w:pPr>
        <w:ind w:left="4" w:right="40" w:firstLine="419"/>
        <w:spacing w:after="0" w:line="342" w:lineRule="auto"/>
        <w:tabs>
          <w:tab w:leader="none" w:pos="826"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Financial Condition/Solvency Certificate</w:t>
      </w:r>
      <w:r>
        <w:rPr>
          <w:rFonts w:ascii="Arial" w:cs="Arial" w:eastAsia="Arial" w:hAnsi="Arial"/>
          <w:sz w:val="16"/>
          <w:szCs w:val="16"/>
          <w:color w:val="auto"/>
        </w:rPr>
        <w:t>. Centuri shall have delivered to the Administrative Agent a certificate, in form and substance satisfactory to the Administrative Agent, and certified as accurate by the chief financial officer of Centuri, that (A) after giving effect to the</w:t>
      </w:r>
    </w:p>
    <w:p>
      <w:pPr>
        <w:spacing w:after="0" w:line="5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564"/>
          </w:cols>
          <w:pgMar w:left="876" w:top="274" w:right="459" w:bottom="1440" w:gutter="0" w:footer="0" w:header="0"/>
        </w:sectPr>
      </w:pPr>
    </w:p>
    <w:bookmarkStart w:id="112" w:name="page113"/>
    <w:bookmarkEnd w:id="112"/>
    <w:p>
      <w:pPr>
        <w:ind w:left="4" w:righ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Centuri and its Subsidiaries, on a Consolidated basis, are Solvent and (B) the financial projections previously delivered to the Agents represent the good faith estimates (utilizing reasonable assumptions) of the financial condition and operations of the Consolidated Companies.</w:t>
      </w:r>
    </w:p>
    <w:p>
      <w:pPr>
        <w:spacing w:after="0" w:line="76" w:lineRule="exact"/>
        <w:rPr>
          <w:sz w:val="20"/>
          <w:szCs w:val="20"/>
          <w:color w:val="auto"/>
        </w:rPr>
      </w:pPr>
    </w:p>
    <w:p>
      <w:pPr>
        <w:ind w:left="4" w:firstLine="419"/>
        <w:spacing w:after="0" w:line="270" w:lineRule="auto"/>
        <w:tabs>
          <w:tab w:leader="none" w:pos="876"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Payment at Closing</w:t>
      </w:r>
      <w:r>
        <w:rPr>
          <w:rFonts w:ascii="Arial" w:cs="Arial" w:eastAsia="Arial" w:hAnsi="Arial"/>
          <w:sz w:val="17"/>
          <w:szCs w:val="17"/>
          <w:color w:val="auto"/>
        </w:rPr>
        <w:t xml:space="preserve">. If an invoice has been provided to Centuri not less than two (2) Business Days prior to the Closing Date, the Borrowers shall have paid or made arrangements to pay contemporaneously with closing (A) to the Administrative Agent, the Arrangers and the Lenders the fees set forth or referenced in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estimate shall not thereafter preclude a final settling of accounts between Centuri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288" w:lineRule="exact"/>
        <w:rPr>
          <w:rFonts w:ascii="Arial" w:cs="Arial" w:eastAsia="Arial" w:hAnsi="Arial"/>
          <w:sz w:val="17"/>
          <w:szCs w:val="17"/>
          <w:color w:val="auto"/>
        </w:rPr>
      </w:pPr>
    </w:p>
    <w:p>
      <w:pPr>
        <w:ind w:left="364" w:hanging="364"/>
        <w:spacing w:after="0"/>
        <w:tabs>
          <w:tab w:leader="none" w:pos="364"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Drum Acquisition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40" w:firstLine="419"/>
        <w:spacing w:after="0" w:line="279" w:lineRule="auto"/>
        <w:tabs>
          <w:tab w:leader="none" w:pos="776"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Consummation of the Drum Acquisition</w:t>
      </w:r>
      <w:r>
        <w:rPr>
          <w:rFonts w:ascii="Arial" w:cs="Arial" w:eastAsia="Arial" w:hAnsi="Arial"/>
          <w:sz w:val="17"/>
          <w:szCs w:val="17"/>
          <w:color w:val="auto"/>
        </w:rPr>
        <w:t>. The Drum Acquisition (including the payment of all amounts due and payable in connection with the consummation of the Drum Acquisition) shall be, or shall have been, consummated in accordance with the Drum Merger Agreement without giving effect to any waivers, modifications, or consents thereof that are materially adverse to the Lenders (as reasonably determined by the Agents) unless such waivers, modifications, or consents are approved in writing by the Agents.</w:t>
      </w:r>
    </w:p>
    <w:p>
      <w:pPr>
        <w:spacing w:after="0" w:line="63" w:lineRule="exact"/>
        <w:rPr>
          <w:sz w:val="20"/>
          <w:szCs w:val="20"/>
          <w:color w:val="auto"/>
        </w:rPr>
      </w:pPr>
    </w:p>
    <w:p>
      <w:pPr>
        <w:ind w:left="824" w:hanging="401"/>
        <w:spacing w:after="0"/>
        <w:tabs>
          <w:tab w:leader="none" w:pos="824"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Drum Merger Agreement</w:t>
      </w:r>
      <w:r>
        <w:rPr>
          <w:rFonts w:ascii="Arial" w:cs="Arial" w:eastAsia="Arial" w:hAnsi="Arial"/>
          <w:sz w:val="16"/>
          <w:szCs w:val="16"/>
          <w:color w:val="auto"/>
        </w:rPr>
        <w:t>. The Arrangers shall have received true, correct and fully executed copies of the Drum Merger Agreement.</w:t>
      </w:r>
    </w:p>
    <w:p>
      <w:pPr>
        <w:spacing w:after="0" w:line="140" w:lineRule="exact"/>
        <w:rPr>
          <w:rFonts w:ascii="Arial" w:cs="Arial" w:eastAsia="Arial" w:hAnsi="Arial"/>
          <w:sz w:val="16"/>
          <w:szCs w:val="16"/>
          <w:color w:val="auto"/>
        </w:rPr>
      </w:pPr>
    </w:p>
    <w:p>
      <w:pPr>
        <w:ind w:left="4" w:right="120" w:firstLine="419"/>
        <w:spacing w:after="0" w:line="275" w:lineRule="auto"/>
        <w:tabs>
          <w:tab w:leader="none" w:pos="876"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Drum Acquisition Representations and Warranties</w:t>
      </w:r>
      <w:r>
        <w:rPr>
          <w:rFonts w:ascii="Arial" w:cs="Arial" w:eastAsia="Arial" w:hAnsi="Arial"/>
          <w:sz w:val="17"/>
          <w:szCs w:val="17"/>
          <w:color w:val="auto"/>
        </w:rPr>
        <w:t>. Each of the representations made by Drum or any of its Subsidiaries or Affiliates or with respect to Drum or its Subsidiaries or its business in the Drum Merger Agreement that are material to the interests of the Lenders are accurate in all material respects (or if qualified by materiality or reference to material adverse effect, in all respects), but only to the extent that in the event of an inaccuracy with respect to, or a breach of, such representations Centuri or its Affiliates have the right to terminate their respective obligations under the Drum Merger Agreement or otherwise decline to close the Drum Acquisition.</w:t>
      </w:r>
    </w:p>
    <w:p>
      <w:pPr>
        <w:spacing w:after="0" w:line="68" w:lineRule="exact"/>
        <w:rPr>
          <w:rFonts w:ascii="Arial" w:cs="Arial" w:eastAsia="Arial" w:hAnsi="Arial"/>
          <w:sz w:val="17"/>
          <w:szCs w:val="17"/>
          <w:color w:val="auto"/>
        </w:rPr>
      </w:pPr>
    </w:p>
    <w:p>
      <w:pPr>
        <w:ind w:left="4" w:right="380" w:firstLine="419"/>
        <w:spacing w:after="0" w:line="308" w:lineRule="auto"/>
        <w:tabs>
          <w:tab w:leader="none" w:pos="866"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No Drum Material Adverse Effect</w:t>
      </w:r>
      <w:r>
        <w:rPr>
          <w:rFonts w:ascii="Arial" w:cs="Arial" w:eastAsia="Arial" w:hAnsi="Arial"/>
          <w:sz w:val="17"/>
          <w:szCs w:val="17"/>
          <w:color w:val="auto"/>
        </w:rPr>
        <w:t>. Since the date of the Drum Merger Agreement, there shall not have occurred a Drum Material Adverse Effect or any event or condition that could reasonably be expected to have a Drum Material Adverse Effect.</w:t>
      </w:r>
    </w:p>
    <w:p>
      <w:pPr>
        <w:spacing w:after="0" w:line="254" w:lineRule="exact"/>
        <w:rPr>
          <w:rFonts w:ascii="Arial" w:cs="Arial" w:eastAsia="Arial" w:hAnsi="Arial"/>
          <w:sz w:val="17"/>
          <w:szCs w:val="17"/>
          <w:color w:val="auto"/>
        </w:rPr>
      </w:pPr>
    </w:p>
    <w:p>
      <w:pPr>
        <w:ind w:left="384" w:hanging="384"/>
        <w:spacing w:after="0"/>
        <w:tabs>
          <w:tab w:leader="none" w:pos="38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419"/>
        <w:spacing w:after="0" w:line="277" w:lineRule="auto"/>
        <w:tabs>
          <w:tab w:leader="none" w:pos="776"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The Administrative Agent shall have received a Notice of Account Designation specifying the account or accounts to which the proceeds of any Loans made on or after the Closing Date are to be disbursed.</w:t>
      </w:r>
    </w:p>
    <w:p>
      <w:pPr>
        <w:spacing w:after="0" w:line="62" w:lineRule="exact"/>
        <w:rPr>
          <w:rFonts w:ascii="Arial" w:cs="Arial" w:eastAsia="Arial" w:hAnsi="Arial"/>
          <w:sz w:val="18"/>
          <w:szCs w:val="18"/>
          <w:color w:val="auto"/>
        </w:rPr>
      </w:pPr>
    </w:p>
    <w:p>
      <w:pPr>
        <w:ind w:left="4" w:right="920" w:firstLine="419"/>
        <w:spacing w:after="0" w:line="277" w:lineRule="auto"/>
        <w:tabs>
          <w:tab w:leader="none" w:pos="826"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(A) All amounts due or outstanding in respect of the Existing Credit Agreement shall have been (or substantially simultaneously with the Closing Date</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564"/>
          </w:cols>
          <w:pgMar w:left="876" w:top="274" w:right="459" w:bottom="1440" w:gutter="0" w:footer="0" w:header="0"/>
        </w:sectPr>
      </w:pPr>
    </w:p>
    <w:bookmarkStart w:id="113" w:name="page114"/>
    <w:bookmarkEnd w:id="113"/>
    <w:p>
      <w:pPr>
        <w:ind w:left="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be) refinanced in full and (B) all existing Indebtedness of Drum and its Subsidiaries (other than such Indebtedness that is expressly permitted to remain outstanding pursuant to the Drum Merger Agreement and permitted by </w:t>
      </w:r>
      <w:r>
        <w:rPr>
          <w:rFonts w:ascii="Arial" w:cs="Arial" w:eastAsia="Arial" w:hAnsi="Arial"/>
          <w:sz w:val="17"/>
          <w:szCs w:val="17"/>
          <w:u w:val="single" w:color="auto"/>
          <w:color w:val="auto"/>
        </w:rPr>
        <w:t>Section 9.1(c)</w:t>
      </w:r>
      <w:r>
        <w:rPr>
          <w:rFonts w:ascii="Arial" w:cs="Arial" w:eastAsia="Arial" w:hAnsi="Arial"/>
          <w:sz w:val="17"/>
          <w:szCs w:val="17"/>
          <w:color w:val="auto"/>
        </w:rPr>
        <w:t>) shall be repaid in full, all commitments (if any) in respect thereof shall have been terminated and all guarantees therefor and security therefor shall be released, in each case prior to or substantially concurrently with the initial Extensions of Credit hereunder and the Administrative Agent shall have received pay-off letters in form and substance satisfactory to it evidencing such repayment, termination and release.</w:t>
      </w:r>
    </w:p>
    <w:p>
      <w:pPr>
        <w:spacing w:after="0" w:line="68" w:lineRule="exact"/>
        <w:rPr>
          <w:sz w:val="20"/>
          <w:szCs w:val="20"/>
          <w:color w:val="auto"/>
        </w:rPr>
      </w:pPr>
    </w:p>
    <w:p>
      <w:pPr>
        <w:ind w:left="1300" w:hanging="441"/>
        <w:spacing w:after="0"/>
        <w:tabs>
          <w:tab w:leader="none" w:pos="1300"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PATRIOT Act, etc</w:t>
      </w:r>
      <w:r>
        <w:rPr>
          <w:rFonts w:ascii="Arial" w:cs="Arial" w:eastAsia="Arial" w:hAnsi="Arial"/>
          <w:sz w:val="16"/>
          <w:szCs w:val="16"/>
          <w:color w:val="auto"/>
        </w:rPr>
        <w:t>. To the extent requested by the Agents or any Lender at least ten (10) Business Days prior to the Closing Date,</w:t>
      </w:r>
    </w:p>
    <w:p>
      <w:pPr>
        <w:spacing w:after="0" w:line="46" w:lineRule="exact"/>
        <w:rPr>
          <w:rFonts w:ascii="Arial" w:cs="Arial" w:eastAsia="Arial" w:hAnsi="Arial"/>
          <w:sz w:val="16"/>
          <w:szCs w:val="16"/>
          <w:color w:val="auto"/>
        </w:rPr>
      </w:pPr>
    </w:p>
    <w:p>
      <w:pPr>
        <w:ind w:left="740" w:hanging="304"/>
        <w:spacing w:after="0"/>
        <w:tabs>
          <w:tab w:leader="none" w:pos="7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Agents and the Lenders shall have received, at least five Business Days prior to the Closing Date (or such shorter period as the</w:t>
      </w:r>
    </w:p>
    <w:p>
      <w:pPr>
        <w:spacing w:after="0" w:line="20" w:lineRule="exact"/>
        <w:rPr>
          <w:rFonts w:ascii="Arial" w:cs="Arial" w:eastAsia="Arial" w:hAnsi="Arial"/>
          <w:sz w:val="17"/>
          <w:szCs w:val="17"/>
          <w:color w:val="auto"/>
        </w:rPr>
      </w:pPr>
    </w:p>
    <w:p>
      <w:pPr>
        <w:ind w:left="440" w:right="180"/>
        <w:spacing w:after="0" w:line="292" w:lineRule="auto"/>
        <w:rPr>
          <w:rFonts w:ascii="Arial" w:cs="Arial" w:eastAsia="Arial" w:hAnsi="Arial"/>
          <w:sz w:val="17"/>
          <w:szCs w:val="17"/>
          <w:color w:val="auto"/>
        </w:rPr>
      </w:pPr>
      <w:r>
        <w:rPr>
          <w:rFonts w:ascii="Arial" w:cs="Arial" w:eastAsia="Arial" w:hAnsi="Arial"/>
          <w:sz w:val="16"/>
          <w:szCs w:val="16"/>
          <w:color w:val="auto"/>
        </w:rPr>
        <w:t>Administrative Agent may agree), all documentation and other information requested by the Agents or any Lender in order to comply with requirements of any Anti-Money Laundering Laws including, without limitation, the PATRIOT Act and any applicable “know your customer” rules and regulations and (B) the Borrowers shall have delivered to the Agents,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Closing Date.</w:t>
      </w:r>
    </w:p>
    <w:p>
      <w:pPr>
        <w:spacing w:after="0" w:line="54" w:lineRule="exact"/>
        <w:rPr>
          <w:rFonts w:ascii="Arial" w:cs="Arial" w:eastAsia="Arial" w:hAnsi="Arial"/>
          <w:sz w:val="17"/>
          <w:szCs w:val="17"/>
          <w:color w:val="auto"/>
        </w:rPr>
      </w:pPr>
    </w:p>
    <w:p>
      <w:pPr>
        <w:ind w:left="440" w:right="60" w:firstLine="419"/>
        <w:spacing w:after="0" w:line="259" w:lineRule="auto"/>
        <w:tabs>
          <w:tab w:leader="none" w:pos="1303"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Without limiting the generality of the provisions of </w:t>
      </w:r>
      <w:r>
        <w:rPr>
          <w:rFonts w:ascii="Arial" w:cs="Arial" w:eastAsia="Arial" w:hAnsi="Arial"/>
          <w:sz w:val="16"/>
          <w:szCs w:val="16"/>
          <w:u w:val="single" w:color="auto"/>
          <w:color w:val="auto"/>
        </w:rPr>
        <w:t>Section 11.3(c)</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5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solely with respect to any Incremental Term Loan incurred to finance a substantially concurrent Limited Condition Acquisition, the obligations of the Lenders to make or participate in any Extensions of Credit (including the initial Extension of Credit), convert or continue any Loan and/or any Issuing Lender to issue or extend any Letter of Credit are subject to the satisfaction of the following conditions precedent on the relevant borrowing, continuation, conversion, issuance or extension date:</w:t>
      </w:r>
    </w:p>
    <w:p>
      <w:pPr>
        <w:spacing w:after="0" w:line="188" w:lineRule="exact"/>
        <w:rPr>
          <w:sz w:val="20"/>
          <w:szCs w:val="20"/>
          <w:color w:val="auto"/>
        </w:rPr>
      </w:pPr>
    </w:p>
    <w:p>
      <w:pPr>
        <w:ind w:right="20" w:firstLine="436"/>
        <w:spacing w:after="0" w:line="290" w:lineRule="auto"/>
        <w:tabs>
          <w:tab w:leader="none" w:pos="82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Continuation of Representations and Warranties</w:t>
      </w:r>
      <w:r>
        <w:rPr>
          <w:rFonts w:ascii="Arial" w:cs="Arial" w:eastAsia="Arial" w:hAnsi="Arial"/>
          <w:sz w:val="16"/>
          <w:szCs w:val="16"/>
          <w:color w:val="auto"/>
        </w:rPr>
        <w:t xml:space="preserve">.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that the only representations and warranties the accuracy of which shall be a condition to the availability of the initial Extensions of Credit on the Closing Date shall be the Specified Representations.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20"/>
          </w:cols>
          <w:pgMar w:left="440" w:top="274" w:right="439" w:bottom="1440" w:gutter="0" w:footer="0" w:header="0"/>
        </w:sectPr>
      </w:pPr>
    </w:p>
    <w:bookmarkStart w:id="114" w:name="page115"/>
    <w:bookmarkEnd w:id="114"/>
    <w:p>
      <w:pPr>
        <w:ind w:right="220" w:firstLine="436"/>
        <w:spacing w:after="0" w:line="259" w:lineRule="auto"/>
        <w:tabs>
          <w:tab w:leader="none" w:pos="83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Existing Default</w:t>
      </w:r>
      <w:r>
        <w:rPr>
          <w:rFonts w:ascii="Arial" w:cs="Arial" w:eastAsia="Arial" w:hAnsi="Arial"/>
          <w:sz w:val="18"/>
          <w:szCs w:val="18"/>
          <w:color w:val="auto"/>
        </w:rPr>
        <w:t>. Except with respect to the initial Extensions of Credit on the Closing Date, no Default or Event of Default shall have occurred and be continuing (i) on the borrowing, continuation or conversion date with respect to such Loan or after giving effect to the Loans to be made, continued or converted on such date or (ii) on the issuance or extension date with respect to such Letter of Credit or after giving effect to the issuance or extension of such Letter of Credit on such date.</w:t>
      </w:r>
    </w:p>
    <w:p>
      <w:pPr>
        <w:spacing w:after="0" w:line="186" w:lineRule="exact"/>
        <w:rPr>
          <w:rFonts w:ascii="Arial" w:cs="Arial" w:eastAsia="Arial" w:hAnsi="Arial"/>
          <w:sz w:val="18"/>
          <w:szCs w:val="18"/>
          <w:color w:val="auto"/>
        </w:rPr>
      </w:pPr>
    </w:p>
    <w:p>
      <w:pPr>
        <w:ind w:right="380" w:firstLine="436"/>
        <w:spacing w:after="0" w:line="263" w:lineRule="auto"/>
        <w:tabs>
          <w:tab w:leader="none" w:pos="8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The Administrative Agent shall have received a Notice of Borrowing, Letter of Credit Application, or Notice of Conversion/Continuation, as applicable, from the applicable Borrower in accordance with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as applicable.</w:t>
      </w:r>
    </w:p>
    <w:p>
      <w:pPr>
        <w:spacing w:after="0" w:line="183" w:lineRule="exact"/>
        <w:rPr>
          <w:rFonts w:ascii="Arial" w:cs="Arial" w:eastAsia="Arial" w:hAnsi="Arial"/>
          <w:sz w:val="18"/>
          <w:szCs w:val="18"/>
          <w:color w:val="auto"/>
        </w:rPr>
      </w:pPr>
    </w:p>
    <w:p>
      <w:pPr>
        <w:ind w:right="20" w:firstLine="436"/>
        <w:spacing w:after="0" w:line="311" w:lineRule="auto"/>
        <w:tabs>
          <w:tab w:leader="none" w:pos="83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New Swingline Loans/Letters of Credit</w:t>
      </w:r>
      <w:r>
        <w:rPr>
          <w:rFonts w:ascii="Arial" w:cs="Arial" w:eastAsia="Arial" w:hAnsi="Arial"/>
          <w:sz w:val="16"/>
          <w:szCs w:val="16"/>
          <w:color w:val="auto"/>
        </w:rPr>
        <w:t>. So long as any Lender is a Defaulting Lender, (i) no Swingline Lender shall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14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xml:space="preserve">Each Notice of Borrowing, Letter of Credit Application, as applicable, submitted by the Borrowers shall be deemed to be a representation and warranty that the conditions specified in </w:t>
      </w:r>
      <w:r>
        <w:rPr>
          <w:rFonts w:ascii="Arial" w:cs="Arial" w:eastAsia="Arial" w:hAnsi="Arial"/>
          <w:sz w:val="17"/>
          <w:szCs w:val="17"/>
          <w:u w:val="single" w:color="auto"/>
          <w:color w:val="auto"/>
        </w:rPr>
        <w:t>Sections 6.2(a)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on and as of the date of the applicable Extension of Credit.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THE CREDIT PARTIES</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To induce the Administrative Agent and Lenders to enter into this Agreement and to induce the Lenders to make Extensions of Credit, the Credit Parties hereby represent and warrant to the Administrative Agent and the Lenders both immediately before and after giving effect to the transactions contemplated hereunder, which representations and warranties shall be deemed made on the Closing Date and as otherwise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that:</w:t>
      </w:r>
    </w:p>
    <w:p>
      <w:pPr>
        <w:spacing w:after="0" w:line="14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Organization; Power; Qualification</w:t>
      </w:r>
      <w:r>
        <w:rPr>
          <w:rFonts w:ascii="Arial" w:cs="Arial" w:eastAsia="Arial" w:hAnsi="Arial"/>
          <w:sz w:val="18"/>
          <w:szCs w:val="18"/>
          <w:color w:val="auto"/>
        </w:rPr>
        <w:t xml:space="preserve">. Each Credit Party and each Subsidiary thereof (a) is duly organized, validly existing and in good standing under the laws of the jurisdiction of its incorporation or formation, (b) has the power and authority to own its Properties and to carry on its business as now being conducted and (c) is duly qualified and authorized to do business in each jurisdiction in which the character of its Properties or the nature of its business requires such qualification and authorization, in the case of this clause (c), except to the extent failure to do so would not reasonably be expected to have a Material Adverse Effect. The jurisdictions in which each Credit Party and each Subsidiary thereof are organized and qualified to do business as of the Closing Date are described on </w:t>
      </w:r>
      <w:r>
        <w:rPr>
          <w:rFonts w:ascii="Arial" w:cs="Arial" w:eastAsia="Arial" w:hAnsi="Arial"/>
          <w:sz w:val="18"/>
          <w:szCs w:val="18"/>
          <w:u w:val="single" w:color="auto"/>
          <w:color w:val="auto"/>
        </w:rPr>
        <w:t>Schedule 7.1</w:t>
      </w:r>
      <w:r>
        <w:rPr>
          <w:rFonts w:ascii="Arial" w:cs="Arial" w:eastAsia="Arial" w:hAnsi="Arial"/>
          <w:sz w:val="18"/>
          <w:szCs w:val="18"/>
          <w:color w:val="auto"/>
        </w:rPr>
        <w:t>. No Credit Party nor any Subsidiary thereof is an Affected Financial Institution.</w:t>
      </w:r>
    </w:p>
    <w:p>
      <w:pPr>
        <w:spacing w:after="0" w:line="19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Ownership</w:t>
      </w:r>
      <w:r>
        <w:rPr>
          <w:rFonts w:ascii="Arial" w:cs="Arial" w:eastAsia="Arial" w:hAnsi="Arial"/>
          <w:sz w:val="18"/>
          <w:szCs w:val="18"/>
          <w:color w:val="auto"/>
        </w:rPr>
        <w:t xml:space="preserve">. Each Subsidiary of each Credit Party as of the Closing Date is listed on </w:t>
      </w:r>
      <w:r>
        <w:rPr>
          <w:rFonts w:ascii="Arial" w:cs="Arial" w:eastAsia="Arial" w:hAnsi="Arial"/>
          <w:sz w:val="18"/>
          <w:szCs w:val="18"/>
          <w:u w:val="single" w:color="auto"/>
          <w:color w:val="auto"/>
        </w:rPr>
        <w:t>Schedule 7.2</w:t>
      </w:r>
      <w:r>
        <w:rPr>
          <w:rFonts w:ascii="Arial" w:cs="Arial" w:eastAsia="Arial" w:hAnsi="Arial"/>
          <w:sz w:val="18"/>
          <w:szCs w:val="18"/>
          <w:color w:val="auto"/>
        </w:rPr>
        <w:t xml:space="preserve">. As of the Closing Date, the capitalization of each Credit Party and its Subsidiaries consists of the number of shares, authorized, issued and outstanding, of such classes and series, with or without par value, described on </w:t>
      </w:r>
      <w:r>
        <w:rPr>
          <w:rFonts w:ascii="Arial" w:cs="Arial" w:eastAsia="Arial" w:hAnsi="Arial"/>
          <w:sz w:val="18"/>
          <w:szCs w:val="18"/>
          <w:u w:val="single" w:color="auto"/>
          <w:color w:val="auto"/>
        </w:rPr>
        <w:t>Schedule 7.2</w:t>
      </w:r>
      <w:r>
        <w:rPr>
          <w:rFonts w:ascii="Arial" w:cs="Arial" w:eastAsia="Arial" w:hAnsi="Arial"/>
          <w:sz w:val="18"/>
          <w:szCs w:val="18"/>
          <w:color w:val="auto"/>
        </w:rPr>
        <w:t xml:space="preserve">. All outstanding shares have been duly authorized and validly issued and are fully paid and nonassessable and not subject to any preemptive or similar rights, except as described in </w:t>
      </w:r>
      <w:r>
        <w:rPr>
          <w:rFonts w:ascii="Arial" w:cs="Arial" w:eastAsia="Arial" w:hAnsi="Arial"/>
          <w:sz w:val="18"/>
          <w:szCs w:val="18"/>
          <w:u w:val="single" w:color="auto"/>
          <w:color w:val="auto"/>
        </w:rPr>
        <w:t>Schedule 7.2</w:t>
      </w:r>
      <w:r>
        <w:rPr>
          <w:rFonts w:ascii="Arial" w:cs="Arial" w:eastAsia="Arial" w:hAnsi="Arial"/>
          <w:sz w:val="18"/>
          <w:szCs w:val="18"/>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or any Subsidiary thereof, except as described on </w:t>
      </w:r>
      <w:r>
        <w:rPr>
          <w:rFonts w:ascii="Arial" w:cs="Arial" w:eastAsia="Arial" w:hAnsi="Arial"/>
          <w:sz w:val="18"/>
          <w:szCs w:val="18"/>
          <w:u w:val="single" w:color="auto"/>
          <w:color w:val="auto"/>
        </w:rPr>
        <w:t>Schedule 7.2</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4" w:right="479" w:bottom="1440" w:gutter="0" w:footer="0" w:header="0"/>
        </w:sectPr>
      </w:pPr>
    </w:p>
    <w:bookmarkStart w:id="115" w:name="page116"/>
    <w:bookmarkEnd w:id="115"/>
    <w:p>
      <w:pPr>
        <w:ind w:left="4" w:right="8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Each Credit Party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that is a party thereto, and each such document constitutes the legal, valid and binding obligation of each Credit Party that is a party thereto, enforceable in accordance with its terms, except as such enforceability may be limited by bankruptcy, insolvency, reorganization, moratorium or similar state, provincial, or federal Debtor Relief Laws from time to time in effect which affect the enforcement of creditors’ rights in general and the availability of equitable remedies.</w:t>
      </w:r>
    </w:p>
    <w:p>
      <w:pPr>
        <w:spacing w:after="0" w:line="177"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Compliance of Agreement, Loan Documents and Borrowing with Laws, Etc.</w:t>
      </w:r>
      <w:r>
        <w:rPr>
          <w:rFonts w:ascii="Arial" w:cs="Arial" w:eastAsia="Arial" w:hAnsi="Arial"/>
          <w:sz w:val="16"/>
          <w:szCs w:val="16"/>
          <w:color w:val="auto"/>
        </w:rPr>
        <w:t xml:space="preserve"> The execution, delivery and performance by each Credit Party of the Loan Documents to which each such Credit Party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where the failure to obtain such Governmental Approval or such violation could reasonably be expected to have a Material Adverse Effect, (b) conflict with, result in a breach of or constitute a default under the articles of incorporation, bylaws or other organizational documents of any Credit Party or any Subsidiary thereof,</w:t>
      </w:r>
    </w:p>
    <w:p>
      <w:pPr>
        <w:spacing w:after="0" w:line="4" w:lineRule="exact"/>
        <w:rPr>
          <w:sz w:val="20"/>
          <w:szCs w:val="20"/>
          <w:color w:val="auto"/>
        </w:rPr>
      </w:pPr>
    </w:p>
    <w:p>
      <w:pPr>
        <w:ind w:left="4" w:hanging="4"/>
        <w:spacing w:after="0" w:line="251" w:lineRule="auto"/>
        <w:tabs>
          <w:tab w:leader="none" w:pos="2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 Effect, (d) result in or require the creation or imposition of any Lien upon or with respect to any property now owned or hereafter acquired by such Person other than Permitted Liens or (e) other than filings or consents which have been obtained and remain in effect, require any consent or authorization of, filing with, or other act in respect of, an arbitrator or Governmental Authority and no consent of any other Person is required in connection with the execution, delivery, performance, validity or enforceability of this Agreement other than consents, authorizations, filings or other acts or consents for which the failure to obtain or make could not, individually or in the aggregate, reasonably be expected to have a Material Adverse Effect.</w:t>
      </w:r>
    </w:p>
    <w:p>
      <w:pPr>
        <w:spacing w:after="0" w:line="198"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Compliance with Law; Governmental Approvals</w:t>
      </w:r>
      <w:r>
        <w:rPr>
          <w:rFonts w:ascii="Arial" w:cs="Arial" w:eastAsia="Arial" w:hAnsi="Arial"/>
          <w:sz w:val="17"/>
          <w:szCs w:val="17"/>
          <w:color w:val="auto"/>
        </w:rPr>
        <w:t>. Each Credit Party and each Subsidiary thereof (a) has all Governmental Approvals required by any Applicable Law for it to conduct its business, each of which is in full force and effect, is final and not subject to review on appeal and is not the subject of any pending or, to its knowledge, threatened in writing attack by direct or collateral proceeding, (b) is in compliance with each Governmental Approval applicable to it and in compliance with all other Applicable Laws relating to it or any of its properties and (c) has timely filed all material reports, documents and other materials required to be filed by it under all Applicable Laws with any Governmental Authority and has retained all material records and documents required to be retained by it under Applicable Law except in each case (a), (b) or (c) where the failure to have, comply or file could not reasonably be expected to have a Material Adverse Effect.</w:t>
      </w:r>
    </w:p>
    <w:p>
      <w:pPr>
        <w:spacing w:after="0" w:line="177"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Tax Returns and Payments</w:t>
      </w:r>
      <w:r>
        <w:rPr>
          <w:rFonts w:ascii="Arial" w:cs="Arial" w:eastAsia="Arial" w:hAnsi="Arial"/>
          <w:sz w:val="18"/>
          <w:szCs w:val="18"/>
          <w:color w:val="auto"/>
        </w:rPr>
        <w:t>. Each Credit Party and each Subsidiary thereof has duly filed or caused to be filed all federal, state, provincial, local and other tax returns required by Applicable Law to be filed, and has paid, or made adequate provision for the payment of, all federal, state, provincial, local and other taxes, assessments and governmental charges or levies upon it and its property, income, profits and assets which are due and payable (other than (a) where the failure to file, pay, or make provision could not, individually or in the aggregate, reasonably be expected to have a Material Adverse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4"/>
          </w:cols>
          <w:pgMar w:left="436" w:top="274" w:right="45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or (b) any amount the validity of which is currently being contested in good faith by appropriate proceedings and with respect to which reserves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conformity with GAAP have been provided for on the books of the relevant Credit Party). Such returns accurately reflect in all material respects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liability for taxes of any Credit Party or any Subsidiary thereof for the periods covered thereby. As of the Closing Date, except as set forth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 7.6</w:t>
      </w:r>
      <w:r>
        <w:rPr>
          <w:rFonts w:ascii="Arial" w:cs="Arial" w:eastAsia="Arial" w:hAnsi="Arial"/>
          <w:sz w:val="16"/>
          <w:szCs w:val="16"/>
          <w:color w:val="auto"/>
        </w:rPr>
        <w:t>, there is no ongoing audit or examination or, to its knowledge, other investigation by any Governmental Authority of the tax liability of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Party or any Subsidiary thereof. No Governmental Authority has asserted any Lien or other claim against any Credit Party or any Subsidiary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thereof with respect to unpaid taxes which has not been discharged or resolved (other than (a) any amount the validity of which is currently being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contested in good faith by appropriate proceedings and with respect to which reserves in conformity with GAAP have been provided for on the books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relevant Credit Party or (b) Permitted Liens). The charges, accruals and reserves on the books of each Credit Party and each Subsidiary thereof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of federal, state, provincial, local and other taxes for all Fiscal Years and portions thereof since the organization of any Credit Party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thereof are in the judgment of the Borrowers adequate, and the Borrowers do not anticipate any additional taxes or assessments for any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years.</w:t>
      </w:r>
    </w:p>
    <w:p>
      <w:pPr>
        <w:spacing w:after="0" w:line="211"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Intellectual Property Matters</w:t>
      </w:r>
      <w:r>
        <w:rPr>
          <w:rFonts w:ascii="Arial" w:cs="Arial" w:eastAsia="Arial" w:hAnsi="Arial"/>
          <w:sz w:val="16"/>
          <w:szCs w:val="16"/>
          <w:color w:val="auto"/>
        </w:rPr>
        <w:t>. Each Credit Party and each Subsidiary thereof owns or possesses rights to use all franchises, licenses, copyrights, copyright applications, patents, patent rights or licenses, patent applications, trademarks, trademark rights, service mark, service mark rights, trade names, trade name rights, copyrights and other rights with respect to the foregoing which are reasonably necessary to conduct its business, except where the failure to own or possess such rights could not, individually or in the aggregate, reasonably be expected to have a Material Adverse Effect. No event has occurred which permits, or after notice or lapse of time or both would permit, the revocation or termination of any such rights, and no Credit Party nor any Subsidiary thereof is liable to any Person for infringement under Applicable Law with respect to any such rights as a result of its business operations, except as could not, individually or in the aggregate, reasonably be expected to have a Material Adverse Effect.</w:t>
      </w:r>
    </w:p>
    <w:p>
      <w:pPr>
        <w:spacing w:after="0" w:line="16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where the failure of any of the following representations to be correct could not, individually or in the aggregate, reasonably be expected to have a Material Adverse Effect:</w:t>
      </w:r>
    </w:p>
    <w:p>
      <w:pPr>
        <w:spacing w:after="0" w:line="170" w:lineRule="exact"/>
        <w:rPr>
          <w:sz w:val="20"/>
          <w:szCs w:val="20"/>
          <w:color w:val="auto"/>
        </w:rPr>
      </w:pPr>
    </w:p>
    <w:p>
      <w:pPr>
        <w:ind w:right="160" w:firstLine="436"/>
        <w:spacing w:after="0" w:line="301" w:lineRule="auto"/>
        <w:tabs>
          <w:tab w:leader="none" w:pos="8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properties owned, leased or operated by each Credit Party and each Subsidiary thereof do not contain, and to their knowledge have not previously contained, any Hazardous Materials in amounts or concentrations which constitute or constituted a violation of applicable Environmental Laws and, to their knowledge, the properties owned, leased or operated by each Credit Party and each Subsidiary thereof in the past do not contain and have not previously contained any Hazardous Materials in amounts or concentrations which constituted a violation of applicable Environmental Laws;</w:t>
      </w:r>
    </w:p>
    <w:p>
      <w:pPr>
        <w:spacing w:after="0" w:line="157" w:lineRule="exact"/>
        <w:rPr>
          <w:rFonts w:ascii="Arial" w:cs="Arial" w:eastAsia="Arial" w:hAnsi="Arial"/>
          <w:sz w:val="16"/>
          <w:szCs w:val="16"/>
          <w:color w:val="auto"/>
        </w:rPr>
      </w:pPr>
    </w:p>
    <w:p>
      <w:pPr>
        <w:jc w:val="both"/>
        <w:ind w:right="100" w:firstLine="436"/>
        <w:spacing w:after="0" w:line="259" w:lineRule="auto"/>
        <w:tabs>
          <w:tab w:leader="none" w:pos="83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Credit Party and each Subsidiary thereof and such properties owned, leased or operated by such Credit Party or such Subsidiary and all operations conducted in connection therewith are in compliance, and have been in compliance, with all applicable Environmental Laws, and there is no contamination at, under or about such properties or such operations which could interfere with the continued operation of such properties or impair the fair saleable value thereof;</w:t>
      </w:r>
    </w:p>
    <w:p>
      <w:pPr>
        <w:spacing w:after="0" w:line="186" w:lineRule="exact"/>
        <w:rPr>
          <w:rFonts w:ascii="Arial" w:cs="Arial" w:eastAsia="Arial" w:hAnsi="Arial"/>
          <w:sz w:val="18"/>
          <w:szCs w:val="18"/>
          <w:color w:val="auto"/>
        </w:rPr>
      </w:pPr>
    </w:p>
    <w:p>
      <w:pPr>
        <w:ind w:right="360" w:firstLine="436"/>
        <w:spacing w:after="0" w:line="286" w:lineRule="auto"/>
        <w:tabs>
          <w:tab w:leader="none" w:pos="8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or reason to believe that any such notice will be received or is being threatened;</w:t>
      </w:r>
    </w:p>
    <w:p>
      <w:pPr>
        <w:spacing w:after="0" w:line="165" w:lineRule="exact"/>
        <w:rPr>
          <w:rFonts w:ascii="Arial" w:cs="Arial" w:eastAsia="Arial" w:hAnsi="Arial"/>
          <w:sz w:val="17"/>
          <w:szCs w:val="17"/>
          <w:color w:val="auto"/>
        </w:rPr>
      </w:pPr>
    </w:p>
    <w:p>
      <w:pPr>
        <w:ind w:right="100" w:firstLine="436"/>
        <w:spacing w:after="0" w:line="277" w:lineRule="auto"/>
        <w:tabs>
          <w:tab w:leader="none" w:pos="83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knowledge of each Credit Party and each Subsidiary thereof, Hazardous Materials have not been transported or disposed of to or from the properties owned, leased or operated by any Credit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sectPr>
      </w:pPr>
    </w:p>
    <w:bookmarkStart w:id="117" w:name="page118"/>
    <w:bookmarkEnd w:id="11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or any Subsidiary thereof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spacing w:after="0" w:line="184" w:lineRule="exact"/>
        <w:rPr>
          <w:sz w:val="20"/>
          <w:szCs w:val="20"/>
          <w:color w:val="auto"/>
        </w:rPr>
      </w:pPr>
    </w:p>
    <w:p>
      <w:pPr>
        <w:ind w:right="120" w:firstLine="436"/>
        <w:spacing w:after="0" w:line="257" w:lineRule="auto"/>
        <w:tabs>
          <w:tab w:leader="none" w:pos="8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judicial proceedings or governmental or administrative action is pending, or, to the knowledge of the Borrowers, threatened in writing, under any Environmental Law to which any Credit Party or any Subsidiary thereof is or will be named as a potentially responsible party with respect to such properties or operations conducted in connection therewith, nor are there any consent decrees or other decrees, consent orders, administrative orders or other orders, or other administrative or judicial requirements outstanding under any applicable Environmental Law with respect to any Credit Party, any Subsidiary thereof or such properties or such operations; and</w:t>
      </w:r>
    </w:p>
    <w:p>
      <w:pPr>
        <w:spacing w:after="0" w:line="187" w:lineRule="exact"/>
        <w:rPr>
          <w:rFonts w:ascii="Arial" w:cs="Arial" w:eastAsia="Arial" w:hAnsi="Arial"/>
          <w:sz w:val="18"/>
          <w:szCs w:val="18"/>
          <w:color w:val="auto"/>
        </w:rPr>
      </w:pPr>
    </w:p>
    <w:p>
      <w:pPr>
        <w:ind w:right="20" w:firstLine="436"/>
        <w:spacing w:after="0" w:line="263" w:lineRule="auto"/>
        <w:tabs>
          <w:tab w:leader="none" w:pos="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 has been no release, or to the best of each Borrower’s knowledge, threat of release, of Hazardous Materials at or from properties owned, leased or operated by any Credit Party or any Subsidiary, now or in the past five (5) years, in violation of or in amounts or in a manner that could give rise to liability under applicable Environmental Laws.</w:t>
      </w:r>
    </w:p>
    <w:p>
      <w:pPr>
        <w:spacing w:after="0" w:line="292"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6"/>
          <w:szCs w:val="16"/>
          <w:u w:val="single" w:color="auto"/>
          <w:color w:val="auto"/>
        </w:rPr>
        <w:t>Employee Benefit Matters</w:t>
      </w:r>
      <w:r>
        <w:rPr>
          <w:rFonts w:ascii="Arial" w:cs="Arial" w:eastAsia="Arial" w:hAnsi="Arial"/>
          <w:sz w:val="16"/>
          <w:szCs w:val="16"/>
          <w:color w:val="auto"/>
        </w:rPr>
        <w:t>.</w:t>
      </w:r>
    </w:p>
    <w:p>
      <w:pPr>
        <w:spacing w:after="0" w:line="117" w:lineRule="exact"/>
        <w:rPr>
          <w:sz w:val="20"/>
          <w:szCs w:val="20"/>
          <w:color w:val="auto"/>
        </w:rPr>
      </w:pPr>
    </w:p>
    <w:p>
      <w:pPr>
        <w:ind w:right="420" w:firstLine="436"/>
        <w:spacing w:after="0" w:line="277" w:lineRule="auto"/>
        <w:tabs>
          <w:tab w:leader="none" w:pos="81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As of the Closing Date, no Credit Party nor any ERISA Affiliate maintains or contributes to, or has any obligation under, any Employee Benefit Plans or Canadian Employee Benefit Plans other than those identified on </w:t>
      </w:r>
      <w:r>
        <w:rPr>
          <w:rFonts w:ascii="Arial" w:cs="Arial" w:eastAsia="Arial" w:hAnsi="Arial"/>
          <w:sz w:val="18"/>
          <w:szCs w:val="18"/>
          <w:u w:val="single" w:color="auto"/>
          <w:color w:val="auto"/>
        </w:rPr>
        <w:t>Schedule 7.9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80" w:firstLine="436"/>
        <w:spacing w:after="0" w:line="287" w:lineRule="auto"/>
        <w:tabs>
          <w:tab w:leader="none" w:pos="83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Each Credit Party and each ERISA Affiliate is in compliance with all applicable provisions of ERISA, the Code and the regulations and published interpretations thereunder with respect to all Employee Benefit Plans (and with all Canadian Pension Laws with respect to all Canadian Employee Benefit Plans) except for any required amendments for which the remedial amendment period as defined in Section 401(b) of the Code has not yet expired and except where a failure to so comply could not, individually or in the aggregate,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Each Canadian Employee Benefit Plan that is intended to be registered under Canadian Pension Laws has been so registered and such registration has not been revoked nor has any notice of intent to revoke such registration been received. No liability has been incurred by any Credit Party or any ERISA Affiliate which remains unsatisfied for any taxes or penalties assessed with respect to any Employee Benefit Plan, Canadian Employee Benefit Plan or any Multiemployer Plan except for a liability that could not reasonably be expected to have a Material Adverse Effect;</w:t>
      </w:r>
    </w:p>
    <w:p>
      <w:pPr>
        <w:spacing w:after="0" w:line="171" w:lineRule="exact"/>
        <w:rPr>
          <w:rFonts w:ascii="Arial" w:cs="Arial" w:eastAsia="Arial" w:hAnsi="Arial"/>
          <w:sz w:val="16"/>
          <w:szCs w:val="16"/>
          <w:color w:val="auto"/>
        </w:rPr>
      </w:pPr>
    </w:p>
    <w:p>
      <w:pPr>
        <w:ind w:right="20" w:firstLine="436"/>
        <w:spacing w:after="0" w:line="291" w:lineRule="auto"/>
        <w:tabs>
          <w:tab w:leader="none" w:pos="81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 of the Closing Date, no Pension Plan has been terminated, nor has any Pension Plan become subject to funding based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 nor has any Credit Party nor any Subsidiary thereof failed to make or remit any required contributions when due to any Canadian Employee Benefit Plan, nor has any solvency funding relief been elected or exercised with respect to any Canadian Pension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20"/>
          </w:cols>
          <w:pgMar w:left="440" w:top="274" w:right="439" w:bottom="1440" w:gutter="0" w:footer="0" w:header="0"/>
        </w:sectPr>
      </w:pPr>
    </w:p>
    <w:bookmarkStart w:id="118" w:name="page119"/>
    <w:bookmarkEnd w:id="118"/>
    <w:p>
      <w:pPr>
        <w:ind w:left="4" w:right="80" w:firstLine="436"/>
        <w:spacing w:after="0" w:line="293" w:lineRule="auto"/>
        <w:tabs>
          <w:tab w:leader="none" w:pos="834" w:val="left"/>
        </w:tabs>
        <w:numPr>
          <w:ilvl w:val="1"/>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Canadian Multiemployer Plan, or (iv) failed to make a required installment or other required payment under Sections 412 or 430 of the Code or Canadian Pension Laws or to make a required contribution or payment under the terms of any Canadian Employee Benefit Plan;</w:t>
      </w:r>
    </w:p>
    <w:p>
      <w:pPr>
        <w:spacing w:after="0" w:line="164" w:lineRule="exact"/>
        <w:rPr>
          <w:rFonts w:ascii="Arial" w:cs="Arial" w:eastAsia="Arial" w:hAnsi="Arial"/>
          <w:sz w:val="16"/>
          <w:szCs w:val="16"/>
          <w:color w:val="auto"/>
        </w:rPr>
      </w:pPr>
    </w:p>
    <w:p>
      <w:pPr>
        <w:ind w:left="824" w:hanging="384"/>
        <w:spacing w:after="0"/>
        <w:tabs>
          <w:tab w:leader="none" w:pos="82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No Termination Event or Canadian Termination Event has occurred or is reasonably expected to occur;</w:t>
      </w:r>
    </w:p>
    <w:p>
      <w:pPr>
        <w:spacing w:after="0" w:line="225" w:lineRule="exact"/>
        <w:rPr>
          <w:rFonts w:ascii="Arial" w:cs="Arial" w:eastAsia="Arial" w:hAnsi="Arial"/>
          <w:sz w:val="18"/>
          <w:szCs w:val="18"/>
          <w:color w:val="auto"/>
        </w:rPr>
      </w:pPr>
    </w:p>
    <w:p>
      <w:pPr>
        <w:ind w:left="4" w:right="60" w:firstLine="436"/>
        <w:spacing w:after="0" w:line="286" w:lineRule="auto"/>
        <w:tabs>
          <w:tab w:leader="none" w:pos="804"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the best of the knowledge of each Borrower after due inquiry, threatened in writing concerning or involving (i) any employee welfare benefit plan (as defined in Section 3(1) of ERISA) currently maintained or contributed to by any Credit Party or any ERISA Affiliate,</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Pension Plan or Canadian Pension Plan, or (iii) any Multiemployer Plan or Canadian Multiemployer Plan.</w:t>
      </w:r>
    </w:p>
    <w:p>
      <w:pPr>
        <w:spacing w:after="0" w:line="210" w:lineRule="exact"/>
        <w:rPr>
          <w:rFonts w:ascii="Arial" w:cs="Arial" w:eastAsia="Arial" w:hAnsi="Arial"/>
          <w:sz w:val="18"/>
          <w:szCs w:val="18"/>
          <w:color w:val="auto"/>
        </w:rPr>
      </w:pPr>
    </w:p>
    <w:p>
      <w:pPr>
        <w:ind w:left="4" w:right="140" w:firstLine="436"/>
        <w:spacing w:after="0" w:line="263" w:lineRule="auto"/>
        <w:tabs>
          <w:tab w:leader="none" w:pos="83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No Credit Party nor any Subsidiary thereof is a party to any contract, agreement or arrangement that could, solely as a result of the delivery of this Agreement or the consummation of transactions contemplated hereby, result in the payment of any “excess parachute payment” within the meaning of Section 280G of the Code.</w:t>
      </w:r>
    </w:p>
    <w:p>
      <w:pPr>
        <w:spacing w:after="0" w:line="183" w:lineRule="exact"/>
        <w:rPr>
          <w:rFonts w:ascii="Arial" w:cs="Arial" w:eastAsia="Arial" w:hAnsi="Arial"/>
          <w:sz w:val="18"/>
          <w:szCs w:val="18"/>
          <w:color w:val="auto"/>
        </w:rPr>
      </w:pPr>
    </w:p>
    <w:p>
      <w:pPr>
        <w:ind w:left="4" w:right="120" w:firstLine="436"/>
        <w:spacing w:after="0" w:line="277" w:lineRule="auto"/>
        <w:tabs>
          <w:tab w:leader="none" w:pos="82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As of the Closing Date, no Credit Party nor any Subsidiary thereof has established, or commenced participation in, any Canadian Employee Benefit Plan containing a defined benefit provision.</w:t>
      </w:r>
    </w:p>
    <w:p>
      <w:pPr>
        <w:spacing w:after="0" w:line="170" w:lineRule="exact"/>
        <w:rPr>
          <w:rFonts w:ascii="Arial" w:cs="Arial" w:eastAsia="Arial" w:hAnsi="Arial"/>
          <w:sz w:val="18"/>
          <w:szCs w:val="18"/>
          <w:color w:val="auto"/>
        </w:rPr>
      </w:pPr>
    </w:p>
    <w:p>
      <w:pPr>
        <w:ind w:left="784" w:hanging="344"/>
        <w:spacing w:after="0"/>
        <w:tabs>
          <w:tab w:leader="none" w:pos="78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As of the Closing Date no Borrower is nor will be using “plan assets” (within the meaning of 29 CFR § 2510.3-101, as modified by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3(42) of ERISA) of one or more Benefit Plans in connection with the Loans, the Letters of Credit or the Commitments.</w:t>
      </w:r>
    </w:p>
    <w:p>
      <w:pPr>
        <w:spacing w:after="0" w:line="211" w:lineRule="exact"/>
        <w:rPr>
          <w:sz w:val="20"/>
          <w:szCs w:val="20"/>
          <w:color w:val="auto"/>
        </w:rPr>
      </w:pPr>
    </w:p>
    <w:p>
      <w:pPr>
        <w:ind w:left="4" w:right="100" w:firstLine="440"/>
        <w:spacing w:after="0" w:line="271"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Margin Stock</w:t>
      </w:r>
      <w:r>
        <w:rPr>
          <w:rFonts w:ascii="Arial" w:cs="Arial" w:eastAsia="Arial" w:hAnsi="Arial"/>
          <w:sz w:val="17"/>
          <w:szCs w:val="17"/>
          <w:color w:val="auto"/>
        </w:rPr>
        <w:t xml:space="preserve">. No Credit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 Following the application of the proceeds of each Extension of Credit, not more than twenty-five percent (25%) of the value of the assets (either of each Borrower only or of the Consolidated Companies on a Consolidated basis) subject to the provisions of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or subject to any restriction contained in any agreement or instrument between any Borrower and any Lender or any Affiliate of any Lender relating to Indebtedness in excess of the Threshold Amount will be “margin stock”.</w:t>
      </w:r>
    </w:p>
    <w:p>
      <w:pPr>
        <w:spacing w:after="0" w:line="17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No Credit Party nor any Subsidiary thereof is an “investment company” or a company “controlled” by an “investment company” (as each such term is defined or used in the Investment Company Act) and no Credit Party nor any Subsidiary thereof is, or after giving effect to any Extension of Credit will be, subject to regulation under the Interstate Commerce Act, or any other Applicable Law which limits its ability to incur or consummate the transactions contemplated hereby.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4"/>
          </w:cols>
          <w:pgMar w:left="436" w:top="274" w:right="459" w:bottom="1440" w:gutter="0" w:footer="0" w:header="0"/>
        </w:sectPr>
      </w:pPr>
    </w:p>
    <w:bookmarkStart w:id="119" w:name="page120"/>
    <w:bookmarkEnd w:id="119"/>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7.12</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11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Employee Relations</w:t>
      </w:r>
      <w:r>
        <w:rPr>
          <w:rFonts w:ascii="Arial" w:cs="Arial" w:eastAsia="Arial" w:hAnsi="Arial"/>
          <w:sz w:val="17"/>
          <w:szCs w:val="17"/>
          <w:color w:val="auto"/>
        </w:rPr>
        <w:t xml:space="preserve">. As of the Closing Date, no Credit Party nor any Subsidiary thereof is party to any collective bargaining agreement, nor has any labor union been recognized as the representative of its employees except as set forth on </w:t>
      </w:r>
      <w:r>
        <w:rPr>
          <w:rFonts w:ascii="Arial" w:cs="Arial" w:eastAsia="Arial" w:hAnsi="Arial"/>
          <w:sz w:val="17"/>
          <w:szCs w:val="17"/>
          <w:u w:val="single" w:color="auto"/>
          <w:color w:val="auto"/>
        </w:rPr>
        <w:t>Schedule 7.13</w:t>
      </w:r>
      <w:r>
        <w:rPr>
          <w:rFonts w:ascii="Arial" w:cs="Arial" w:eastAsia="Arial" w:hAnsi="Arial"/>
          <w:sz w:val="17"/>
          <w:szCs w:val="17"/>
          <w:color w:val="auto"/>
        </w:rPr>
        <w:t>. No Borrower knows of any pending, threatened in writing or contemplated strikes, work stoppage or other collective labor disputes involving its employees or those of its Subsidiaries that, individually or in the aggregate, could reasonably be expected to have a Material Adverse Effect.</w:t>
      </w:r>
    </w:p>
    <w:p>
      <w:pPr>
        <w:spacing w:after="0" w:line="171"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Burdensome Provisions</w:t>
      </w:r>
      <w:r>
        <w:rPr>
          <w:rFonts w:ascii="Arial" w:cs="Arial" w:eastAsia="Arial" w:hAnsi="Arial"/>
          <w:sz w:val="18"/>
          <w:szCs w:val="18"/>
          <w:color w:val="auto"/>
        </w:rPr>
        <w:t>. No Subsidiary is party to any agreement or instrument or otherwise subject to any restriction or encumbrance that restricts or limits its ability to make dividend payments or other distributions in respect of its Equity Interests to any Consolidated Company or to transfer any of its assets or properties to any Consolidated Company in each case other than existing under or by reason of the Loan Documents or Applicable Law.</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7.15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audited and unaudited financial statements delivered pursuant to </w:t>
      </w:r>
      <w:r>
        <w:rPr>
          <w:rFonts w:ascii="Arial" w:cs="Arial" w:eastAsia="Arial" w:hAnsi="Arial"/>
          <w:sz w:val="17"/>
          <w:szCs w:val="17"/>
          <w:u w:val="single" w:color="auto"/>
          <w:color w:val="auto"/>
        </w:rPr>
        <w:t>Section 6.1(e)(i)</w:t>
      </w:r>
      <w:r>
        <w:rPr>
          <w:rFonts w:ascii="Arial" w:cs="Arial" w:eastAsia="Arial" w:hAnsi="Arial"/>
          <w:sz w:val="17"/>
          <w:szCs w:val="17"/>
          <w:color w:val="auto"/>
        </w:rPr>
        <w:t xml:space="preserve"> are complete and correct and fairly present on a Consolidated basis the assets, liabilities and financial position of the Consolidated Companies as at such dates, and the results of the operations and changes of financial position for the periods then ended (other than customary year-end adjustments for unaudited financial statements and the absence of footnote disclosures for unaudited financial statements). All such financial statements, including the related schedules and notes thereto, have been prepared in accordance with GAAP. Such financial statements show all material indebtedness and other material liabilities, direct or contingent, of the Consolidated Companies as of the date thereof, including material liabilities for taxes, material commitments, and Indebtedness, in each case, to the extent required to be disclosed under GAAP. The projections delivered to the Administrative Agent and the Arrangers prior to the Closing Date were prepared in good faith on the basis of the assumptions stated therein, which assumptions are believed to be reasonable in light of then existing conditions except that such financial projections and statements shall be subject to normal year end closing and audit adjustments (it being recognized by the Lenders that projections are not to be viewed as facts and that the actual results during the period or periods covered by such projections may vary from such projections).</w:t>
      </w:r>
    </w:p>
    <w:p>
      <w:pPr>
        <w:spacing w:after="0" w:line="182"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2020, there has been no material adverse change in the properties, business, operations, or financial condition of the Consolidated Companies and no event has occurred or condition arisen, either individually or in the aggregate, that could reasonably be expected to have a Material Adverse Effect.</w:t>
      </w:r>
    </w:p>
    <w:p>
      <w:pPr>
        <w:spacing w:after="0" w:line="1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7.17</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The Borrowers and their respective Subsidiaries, on a Consolidated basis, are Solvent.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xml:space="preserve">. As of the Closing Date, the real property listed on </w:t>
      </w:r>
      <w:r>
        <w:rPr>
          <w:rFonts w:ascii="Arial" w:cs="Arial" w:eastAsia="Arial" w:hAnsi="Arial"/>
          <w:sz w:val="18"/>
          <w:szCs w:val="18"/>
          <w:u w:val="single" w:color="auto"/>
          <w:color w:val="auto"/>
        </w:rPr>
        <w:t>Schedule 7.18</w:t>
      </w:r>
      <w:r>
        <w:rPr>
          <w:rFonts w:ascii="Arial" w:cs="Arial" w:eastAsia="Arial" w:hAnsi="Arial"/>
          <w:sz w:val="18"/>
          <w:szCs w:val="18"/>
          <w:color w:val="auto"/>
        </w:rPr>
        <w:t xml:space="preserve"> constitutes all of the real property that is owned, leased, or subleased by any Credit Party or any of its Subsidiaries. Each Credit Party and each Subsidiary thereof has such title to the real property owned or leased by it as is necessary or desirable to the conduct of its business and valid and legal title to all of its personal property and assets, except those which have been disposed of by such Credit Party or such Subsidiary subsequent to such date which dispositions have been in the ordinary course of business or as otherwise expressly permitted hereunder.</w:t>
      </w:r>
    </w:p>
    <w:p>
      <w:pPr>
        <w:spacing w:after="0" w:line="188"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SECTION 7.19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suits or proceedings pending nor, to the knowledge of any Borrower, threatened in writing against or in any other way relating adversely to or affecting any Credit Party or any Subsidiary thereof or any of their respective properties in any court or before any arbitrator of any kind or before or by any Governmental Authority that could reasonably be expected to have a Material Adverse Effect.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4" w:right="479" w:bottom="1440" w:gutter="0" w:footer="0" w:header="0"/>
        </w:sectPr>
      </w:pPr>
    </w:p>
    <w:bookmarkStart w:id="120" w:name="page121"/>
    <w:bookmarkEnd w:id="120"/>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7.20</w:t>
      </w:r>
      <w:r>
        <w:rPr>
          <w:sz w:val="20"/>
          <w:szCs w:val="20"/>
          <w:color w:val="auto"/>
        </w:rPr>
        <w:tab/>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54" w:lineRule="auto"/>
        <w:tabs>
          <w:tab w:leader="none" w:pos="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None of (i) the Borrowers, any Subsidiary of any Borrower or, to the knowledge of any Borrower or any such Subsidiary, any of their respective directors, officers or employees, or (ii) to the knowledge of any Borrower, any agent of any Borrower or any Subsidiary of any Borrower that will act in any capacity in connection with or benefit from the credit facilities established hereby, (A) is a Sanctioned Person or currently the subject or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191" w:lineRule="exact"/>
        <w:rPr>
          <w:rFonts w:ascii="Arial" w:cs="Arial" w:eastAsia="Arial" w:hAnsi="Arial"/>
          <w:sz w:val="18"/>
          <w:szCs w:val="18"/>
          <w:color w:val="auto"/>
        </w:rPr>
      </w:pPr>
    </w:p>
    <w:p>
      <w:pPr>
        <w:ind w:right="80" w:firstLine="436"/>
        <w:spacing w:after="0" w:line="263" w:lineRule="auto"/>
        <w:tabs>
          <w:tab w:leader="none" w:pos="83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Borrower and its Subsidiaries has implemented and maintains in effect policies and procedures designed to ensure compliance by such Borrower and its Subsidiaries and their respective directors, officers, employees, agents and Controlled Affiliates with all Anti-Corruption Laws, Anti-Money Laundering Laws and applicable Sanctions.</w:t>
      </w:r>
    </w:p>
    <w:p>
      <w:pPr>
        <w:spacing w:after="0" w:line="183" w:lineRule="exact"/>
        <w:rPr>
          <w:rFonts w:ascii="Arial" w:cs="Arial" w:eastAsia="Arial" w:hAnsi="Arial"/>
          <w:sz w:val="18"/>
          <w:szCs w:val="18"/>
          <w:color w:val="auto"/>
        </w:rPr>
      </w:pPr>
    </w:p>
    <w:p>
      <w:pPr>
        <w:ind w:right="300" w:firstLine="436"/>
        <w:spacing w:after="0" w:line="263" w:lineRule="auto"/>
        <w:tabs>
          <w:tab w:leader="none" w:pos="86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Borrower and its Subsidiaries, each director, officer, and to the knowledge of such Borrower, employee, agent and Affiliate of such Borrower and each such Subsidiary, is in compliance with all Anti-Corruption Laws, Anti-Money Laundering Laws in all material respects and applicable Sanctions.</w:t>
      </w:r>
    </w:p>
    <w:p>
      <w:pPr>
        <w:spacing w:after="0" w:line="183" w:lineRule="exact"/>
        <w:rPr>
          <w:rFonts w:ascii="Arial" w:cs="Arial" w:eastAsia="Arial" w:hAnsi="Arial"/>
          <w:sz w:val="18"/>
          <w:szCs w:val="18"/>
          <w:color w:val="auto"/>
        </w:rPr>
      </w:pPr>
    </w:p>
    <w:p>
      <w:pPr>
        <w:ind w:right="140" w:firstLine="436"/>
        <w:spacing w:after="0" w:line="277" w:lineRule="auto"/>
        <w:tabs>
          <w:tab w:leader="none" w:pos="83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No proceeds of any Extension of Credit have been used, directly or indirectly, by any Borrower, any of its Subsidiaries or any of its or their respective directors, officers, employees and agents in violation of </w:t>
      </w:r>
      <w:r>
        <w:rPr>
          <w:rFonts w:ascii="Arial" w:cs="Arial" w:eastAsia="Arial" w:hAnsi="Arial"/>
          <w:sz w:val="18"/>
          <w:szCs w:val="18"/>
          <w:u w:val="single" w:color="auto"/>
          <w:color w:val="auto"/>
        </w:rPr>
        <w:t>Section 8.15</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u w:val="single" w:color="auto"/>
          <w:color w:val="auto"/>
        </w:rPr>
        <w:t>Absence of Defaults</w:t>
      </w:r>
      <w:r>
        <w:rPr>
          <w:rFonts w:ascii="Arial" w:cs="Arial" w:eastAsia="Arial" w:hAnsi="Arial"/>
          <w:sz w:val="18"/>
          <w:szCs w:val="18"/>
          <w:color w:val="auto"/>
        </w:rPr>
        <w:t>. No event has occurred or is continuing (a) which constitutes a Default or an Event of Default, or (b) which constitutes, or which with the passage of time or giving of notice or both would constitute, a default or event of default by any Credit Party or any Subsidiary thereof under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 that, in any case under this clause (b), could, either individually or in the aggregate, reasonably be expected to have a Material Adverse Effect.</w:t>
      </w:r>
    </w:p>
    <w:p>
      <w:pPr>
        <w:spacing w:after="0" w:line="192"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SECTION 7.22 </w:t>
      </w:r>
      <w:r>
        <w:rPr>
          <w:rFonts w:ascii="Arial" w:cs="Arial" w:eastAsia="Arial" w:hAnsi="Arial"/>
          <w:sz w:val="17"/>
          <w:szCs w:val="17"/>
          <w:u w:val="single" w:color="auto"/>
          <w:color w:val="auto"/>
        </w:rPr>
        <w:t>Senior Indebtedness Status</w:t>
      </w:r>
      <w:r>
        <w:rPr>
          <w:rFonts w:ascii="Arial" w:cs="Arial" w:eastAsia="Arial" w:hAnsi="Arial"/>
          <w:sz w:val="17"/>
          <w:szCs w:val="17"/>
          <w:color w:val="auto"/>
        </w:rPr>
        <w:t>. The Obligations of each Credit Party and each Subsidiary thereof under this Agreement and each of the other Loan Documents ranks and shall continue to rank at least senior in priority of payment to all Subordinated Indebtedness and pari passu in priority of payment with all senior unsecured Indebtedness of each such Person and, to the extent required to be so designated to constitute “Senior Indebtedness” (or the equivalent), has been so designated as “Senior Indebtedness” (or the equivalent) under all instruments and documents, now or in the future, relating to all Subordinated Indebtedness and all senior unsecured Indebtedness of such Person.</w:t>
      </w:r>
    </w:p>
    <w:p>
      <w:pPr>
        <w:spacing w:after="0" w:line="176" w:lineRule="exact"/>
        <w:rPr>
          <w:sz w:val="20"/>
          <w:szCs w:val="20"/>
          <w:color w:val="auto"/>
        </w:rPr>
      </w:pPr>
    </w:p>
    <w:p>
      <w:pPr>
        <w:jc w:val="both"/>
        <w:ind w:right="520" w:firstLine="440"/>
        <w:spacing w:after="0" w:line="286" w:lineRule="auto"/>
        <w:rPr>
          <w:sz w:val="20"/>
          <w:szCs w:val="20"/>
          <w:color w:val="auto"/>
        </w:rPr>
      </w:pPr>
      <w:r>
        <w:rPr>
          <w:rFonts w:ascii="Arial" w:cs="Arial" w:eastAsia="Arial" w:hAnsi="Arial"/>
          <w:sz w:val="17"/>
          <w:szCs w:val="17"/>
          <w:color w:val="auto"/>
        </w:rPr>
        <w:t xml:space="preserve">SECTION 7.23 </w:t>
      </w:r>
      <w:r>
        <w:rPr>
          <w:rFonts w:ascii="Arial" w:cs="Arial" w:eastAsia="Arial" w:hAnsi="Arial"/>
          <w:sz w:val="17"/>
          <w:szCs w:val="17"/>
          <w:u w:val="single" w:color="auto"/>
          <w:color w:val="auto"/>
        </w:rPr>
        <w:t>Disclosure</w:t>
      </w:r>
      <w:r>
        <w:rPr>
          <w:rFonts w:ascii="Arial" w:cs="Arial" w:eastAsia="Arial" w:hAnsi="Arial"/>
          <w:sz w:val="17"/>
          <w:szCs w:val="17"/>
          <w:color w:val="auto"/>
        </w:rPr>
        <w:t>. Each Credit Party and each Subsidiary thereof has disclosed to the Administrative Agent and the Lenders all agreements, instruments and corporate or other restrictions to which any Credit Party and any Subsidiary thereof are subject, and all other matters known to them, that, individually or in the aggregate, could reasonably be expected to result in a Material Adverse Effect. No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4" w:right="459" w:bottom="1440" w:gutter="0" w:footer="0" w:header="0"/>
        </w:sectPr>
      </w:pPr>
    </w:p>
    <w:bookmarkStart w:id="121" w:name="page122"/>
    <w:bookmarkEnd w:id="12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financial statement, material report, material certificate or other material information furnished (whether in writing or orally) by or on behalf of any Credit Party or any Subsidiary thereof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pro forma financial information, estimated financial information and other projected or estimated information, such information was prepared in good faith based upon assumptions believed to be reasonable at the time (it being recognized by the Lenders that projections are not to be viewed as facts and that the actual results during the period or periods covered by such projections may vary from such projections). As of the Closing Date, all of the information included in the Beneficial Ownership Certification, if applicable, is true and correct.</w:t>
      </w:r>
    </w:p>
    <w:p>
      <w:pPr>
        <w:spacing w:after="0" w:line="18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7.24 </w:t>
      </w:r>
      <w:r>
        <w:rPr>
          <w:rFonts w:ascii="Arial" w:cs="Arial" w:eastAsia="Arial" w:hAnsi="Arial"/>
          <w:sz w:val="18"/>
          <w:szCs w:val="18"/>
          <w:u w:val="single" w:color="auto"/>
          <w:color w:val="auto"/>
        </w:rPr>
        <w:t>Insurance</w:t>
      </w:r>
      <w:r>
        <w:rPr>
          <w:rFonts w:ascii="Arial" w:cs="Arial" w:eastAsia="Arial" w:hAnsi="Arial"/>
          <w:sz w:val="18"/>
          <w:szCs w:val="18"/>
          <w:color w:val="auto"/>
        </w:rPr>
        <w:t>. The Credit Parties and their Subsidiaries are insured by financially sound and reputable insurance companies against at least such risks and in at least such amounts as are customarily maintained by similar businesses and as may be required by Applicable Law (including, without limitation, hazard and business interruption insurance).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Until all of the Obligations (other than contingent indemnification obligations not then due) have been paid and satisfied in full in cash, all Letters of Credit have been terminated or expired (or been Cash Collateralized) and the Commitments terminated, each Credit Party will, and will cause each of its Subsidiaries to:</w:t>
      </w:r>
    </w:p>
    <w:p>
      <w:pPr>
        <w:spacing w:after="0" w:line="18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Financial Statements and Budgets</w:t>
      </w:r>
      <w:r>
        <w:rPr>
          <w:rFonts w:ascii="Arial" w:cs="Arial" w:eastAsia="Arial" w:hAnsi="Arial"/>
          <w:sz w:val="17"/>
          <w:szCs w:val="17"/>
          <w:color w:val="auto"/>
        </w:rPr>
        <w:t>. Deliver to the Administrative Agent, in form and detail satisfactory to the Administrative Agent (which shall promptly make such information available to the Lenders in accordance with its customary practice):</w:t>
      </w:r>
    </w:p>
    <w:p>
      <w:pPr>
        <w:spacing w:after="0" w:line="146" w:lineRule="exact"/>
        <w:rPr>
          <w:sz w:val="20"/>
          <w:szCs w:val="20"/>
          <w:color w:val="auto"/>
        </w:rPr>
      </w:pPr>
    </w:p>
    <w:p>
      <w:pPr>
        <w:ind w:firstLine="436"/>
        <w:spacing w:after="0" w:line="253" w:lineRule="auto"/>
        <w:tabs>
          <w:tab w:leader="none" w:pos="8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practicable and in any event within ninety (90) days (or, if earlier, on the date of any required public filing thereof) after the end of each Fiscal Year (commencing with the Fiscal Year ending December 31, 2021), an audited Consolidated balance sheet of the Consolidated Companies as of the close of such Fiscal Year and audited Consolidated statements of income, retained earnings and cash flows including the notes thereto and a report containing management’s discussion and analysis of such financial statements,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Consolidated Companies not in accordance with GAAP.</w:t>
      </w:r>
    </w:p>
    <w:p>
      <w:pPr>
        <w:spacing w:after="0" w:line="191" w:lineRule="exact"/>
        <w:rPr>
          <w:rFonts w:ascii="Arial" w:cs="Arial" w:eastAsia="Arial" w:hAnsi="Arial"/>
          <w:sz w:val="18"/>
          <w:szCs w:val="18"/>
          <w:color w:val="auto"/>
        </w:rPr>
      </w:pPr>
    </w:p>
    <w:p>
      <w:pPr>
        <w:ind w:right="80" w:firstLine="436"/>
        <w:spacing w:after="0" w:line="286" w:lineRule="auto"/>
        <w:tabs>
          <w:tab w:leader="none" w:pos="83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practicable and in any event within forty-five (45) days (or, if earlier, on the date of any required public filing thereof) after the end of the first three fiscal quarters of each Fiscal Year (commencing with the fiscal quarter ended September 30, 2021), an unaudited Consolidated balance sheet of the Consolidated Companies as of the close of such fiscal quarter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4" w:right="459" w:bottom="1440" w:gutter="0" w:footer="0" w:header="0"/>
        </w:sectPr>
      </w:pPr>
    </w:p>
    <w:bookmarkStart w:id="122" w:name="page123"/>
    <w:bookmarkEnd w:id="122"/>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Consolidated statements of income, retained earnings and cash flows and a report containing management’s discussion and analysis of such financial statements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Centuri in accordance with GAAP and, if applicable, containing disclosure of the effect on the financial position or results of operations of any change in the application of accounting principles and practices during the period, and certified by the chief financial officer of Centuri to present fairly in all material respects the financial condition of the Consolidated Companies on a Consolidated basis as of their respective dates and the results of operations of the Consolidated Companies for the respective periods then ended, subject to normal year-end adjustments and the absence of footnotes.</w:t>
      </w:r>
    </w:p>
    <w:p>
      <w:pPr>
        <w:spacing w:after="0" w:line="166" w:lineRule="exact"/>
        <w:rPr>
          <w:sz w:val="20"/>
          <w:szCs w:val="20"/>
          <w:color w:val="auto"/>
        </w:rPr>
      </w:pPr>
    </w:p>
    <w:p>
      <w:pPr>
        <w:ind w:firstLine="436"/>
        <w:spacing w:after="0" w:line="271" w:lineRule="auto"/>
        <w:tabs>
          <w:tab w:leader="none" w:pos="820"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Annual Budget</w:t>
      </w:r>
      <w:r>
        <w:rPr>
          <w:rFonts w:ascii="Arial" w:cs="Arial" w:eastAsia="Arial" w:hAnsi="Arial"/>
          <w:sz w:val="17"/>
          <w:szCs w:val="17"/>
          <w:color w:val="auto"/>
        </w:rPr>
        <w:t xml:space="preserve">. As soon as practicable and in any event within sixty (60) days after the end of each Fiscal Year (commencing with the Fiscal Year ending December 31, 2021), an operating and capital budget of the Consolidated Companies for the ensuing four (4) fiscal quarters, such budget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and a report containing management’s discussion and analysis of such budget with a reasonable disclosure of the key assumptions and drivers with respect to such budget, accompanied by a certificate from a Responsible Officer of Centuri to the effect that such budget contains good faith estimates (utilizing assumptions believed to be reasonable at the time of delivery of such budget) of the financial condition and operations of the Consolidated Companies for such period.</w:t>
      </w:r>
    </w:p>
    <w:p>
      <w:pPr>
        <w:spacing w:after="0" w:line="178"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Certificates; Other Reports</w:t>
      </w:r>
      <w:r>
        <w:rPr>
          <w:rFonts w:ascii="Arial" w:cs="Arial" w:eastAsia="Arial" w:hAnsi="Arial"/>
          <w:sz w:val="16"/>
          <w:szCs w:val="16"/>
          <w:color w:val="auto"/>
        </w:rPr>
        <w:t>. Deliver to the Administrative Agent (which shall promptly make such information available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Lenders in accordance with its customary practice):</w:t>
      </w:r>
    </w:p>
    <w:p>
      <w:pPr>
        <w:spacing w:after="0" w:line="211" w:lineRule="exact"/>
        <w:rPr>
          <w:sz w:val="20"/>
          <w:szCs w:val="20"/>
          <w:color w:val="auto"/>
        </w:rPr>
      </w:pPr>
    </w:p>
    <w:p>
      <w:pPr>
        <w:ind w:firstLine="436"/>
        <w:spacing w:after="0" w:line="255" w:lineRule="auto"/>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at each time financial statements are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at such other times as the Administrative Agent shall reasonably request, a duly completed Officer’s Compliance Certificate signed by the chief executive officer, chief financial officer, treasurer or controller of Centuri, which will include, as of the date of such financial statements, (i) calculations showing compliance with the financial covenants set forth in Section 9.13, (ii) determination of the “Applicable Margin”, (iii) calculations of Immaterial Subsidiaries and (iv) a reasonably detailed calculation of the Available Amount; and, if requested by the Administrative Agent, work-in-progress reports in a form consistent with that provided by Centuri in connection with the Existing Credit Agreement;</w:t>
      </w:r>
    </w:p>
    <w:p>
      <w:pPr>
        <w:spacing w:after="0" w:line="192" w:lineRule="exact"/>
        <w:rPr>
          <w:rFonts w:ascii="Arial" w:cs="Arial" w:eastAsia="Arial" w:hAnsi="Arial"/>
          <w:sz w:val="18"/>
          <w:szCs w:val="18"/>
          <w:color w:val="auto"/>
        </w:rPr>
      </w:pPr>
    </w:p>
    <w:p>
      <w:pPr>
        <w:ind w:left="820" w:hanging="384"/>
        <w:spacing w:after="0"/>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260" w:firstLine="436"/>
        <w:spacing w:after="0" w:line="263" w:lineRule="auto"/>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promptly upon receipt thereof, copies of all reports, if any, submitted to any Credit Party, any Subsidiary thereof or any of their respective boards of directors by their respective independent public accountants in connection with their auditing function, including, without limitation, any management report and any management responses thereto;</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20" w:firstLine="436"/>
        <w:spacing w:after="0" w:line="277" w:lineRule="auto"/>
        <w:tabs>
          <w:tab w:leader="none" w:pos="8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against or of any noncompliance by any Credit Party or any Subsidiary thereof with any Environmental Law that could reasonably be expected to have a Material Adverse Effect;</w:t>
      </w:r>
    </w:p>
    <w:p>
      <w:pPr>
        <w:spacing w:after="0" w:line="170" w:lineRule="exact"/>
        <w:rPr>
          <w:rFonts w:ascii="Arial" w:cs="Arial" w:eastAsia="Arial" w:hAnsi="Arial"/>
          <w:sz w:val="18"/>
          <w:szCs w:val="18"/>
          <w:color w:val="auto"/>
        </w:rPr>
      </w:pPr>
    </w:p>
    <w:p>
      <w:pPr>
        <w:ind w:left="800" w:hanging="364"/>
        <w:spacing w:after="0"/>
        <w:tabs>
          <w:tab w:leader="none" w:pos="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123" w:name="page124"/>
    <w:bookmarkEnd w:id="123"/>
    <w:p>
      <w:pPr>
        <w:ind w:left="4" w:right="80" w:firstLine="436"/>
        <w:spacing w:after="0" w:line="286" w:lineRule="auto"/>
        <w:tabs>
          <w:tab w:leader="none" w:pos="834" w:val="left"/>
        </w:tabs>
        <w:numPr>
          <w:ilvl w:val="1"/>
          <w:numId w:val="1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and in any event within five (5) Business Days after receipt thereof by any Consolidated Company, copies of each notice or other correspondence received from the SEC (or comparable agency in any applicable non-U.S. jurisdiction) concerning any investigation or possible investigation or other inquiry by such agency regarding financial or other operational results of such Consolidated Company;</w:t>
      </w:r>
    </w:p>
    <w:p>
      <w:pPr>
        <w:spacing w:after="0" w:line="165" w:lineRule="exact"/>
        <w:rPr>
          <w:rFonts w:ascii="Arial" w:cs="Arial" w:eastAsia="Arial" w:hAnsi="Arial"/>
          <w:sz w:val="17"/>
          <w:szCs w:val="17"/>
          <w:color w:val="auto"/>
        </w:rPr>
      </w:pPr>
    </w:p>
    <w:p>
      <w:pPr>
        <w:ind w:left="4" w:firstLine="436"/>
        <w:spacing w:after="0" w:line="263" w:lineRule="auto"/>
        <w:tabs>
          <w:tab w:leader="none" w:pos="83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promptly upon the request thereof, such other information and documentation required by bank regulatory authorities under applicable Anti-Money Laundering Laws (including, without limitation, any applicable “know your customer” rules and regulations, the PATRIOT Act and Canadian AML Laws), as from time to time reasonably requested by the Administrative Agent or any Lender;</w:t>
      </w:r>
    </w:p>
    <w:p>
      <w:pPr>
        <w:spacing w:after="0" w:line="183" w:lineRule="exact"/>
        <w:rPr>
          <w:rFonts w:ascii="Arial" w:cs="Arial" w:eastAsia="Arial" w:hAnsi="Arial"/>
          <w:sz w:val="18"/>
          <w:szCs w:val="18"/>
          <w:color w:val="auto"/>
        </w:rPr>
      </w:pPr>
    </w:p>
    <w:p>
      <w:pPr>
        <w:ind w:left="4" w:right="200" w:firstLine="436"/>
        <w:spacing w:after="0" w:line="259" w:lineRule="auto"/>
        <w:tabs>
          <w:tab w:leader="none" w:pos="79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promptly: (i) notice of the establishment, or intent to establish, a new Canadian Employee Benefit Plan that contains a defined benefit provision, or any change to an existing Canadian Employee Benefit Plan to include a defined benefit provision, or (ii) notice of the acquisition of an interest in any Person if such Person sponsors, administers, participates in, or has any liability in respect of any Canadian Employee Benefit Plan that contains a defined benefit provision;</w:t>
      </w:r>
    </w:p>
    <w:p>
      <w:pPr>
        <w:spacing w:after="0" w:line="186" w:lineRule="exact"/>
        <w:rPr>
          <w:rFonts w:ascii="Arial" w:cs="Arial" w:eastAsia="Arial" w:hAnsi="Arial"/>
          <w:sz w:val="18"/>
          <w:szCs w:val="18"/>
          <w:color w:val="auto"/>
        </w:rPr>
      </w:pPr>
    </w:p>
    <w:p>
      <w:pPr>
        <w:ind w:left="4" w:right="20" w:firstLine="436"/>
        <w:spacing w:after="0" w:line="284" w:lineRule="auto"/>
        <w:tabs>
          <w:tab w:leader="none" w:pos="79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promptly: (i) copies of all actuarial reports and any other material reports with respect to each Canadian Employee Benefit Plan as filed by a Credit Party with any applicable Governmental Authority, (ii) a current calculation of the Credit Parties’ aggregate Canadian Pension Plan Unfunded Liabilities pursuant to a valuation or report in a form and substance reasonably satisfactory to the Administrative Agent, when available on an annual basis or upon the reasonable request of the Administrative Agent (such additional request not to be made more than one time per calendar year), (iii) promptly after receipt thereof, a copy of any material direction, order, notice or ruling that any Credit Party receives from any applicable Governmental Authority with respect to any Canadian Employee Benefit Plan, (iv) notification within thirty (30) days of any increases having a cost to one or more of the Credit Parties in excess of the Threshold Amount per annum in the aggregate in the benefits of any Canadian Employee Benefit Plan,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notification of the existence of any report which discloses a Canadian Pension Plan Unfunded Liability; and</w:t>
      </w:r>
    </w:p>
    <w:p>
      <w:pPr>
        <w:spacing w:after="0" w:line="210" w:lineRule="exact"/>
        <w:rPr>
          <w:rFonts w:ascii="Arial" w:cs="Arial" w:eastAsia="Arial" w:hAnsi="Arial"/>
          <w:sz w:val="18"/>
          <w:szCs w:val="18"/>
          <w:color w:val="auto"/>
        </w:rPr>
      </w:pPr>
    </w:p>
    <w:p>
      <w:pPr>
        <w:ind w:left="4" w:right="20" w:firstLine="436"/>
        <w:spacing w:after="0" w:line="277" w:lineRule="auto"/>
        <w:tabs>
          <w:tab w:leader="none" w:pos="83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such other information regarding the operations, business affairs and financial condition of any Credit Party or any Subsidiary thereof as the Administrative Agent or any Lender may reasonably request.</w:t>
      </w:r>
    </w:p>
    <w:p>
      <w:pPr>
        <w:spacing w:after="0" w:line="170"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Each Borrower hereby acknowledges that (a) the Administrative Agent and/or the Arrangers will make available to the Lenders and the Issuing Lenders materials and/or information provided by or on behalf of the Borrowers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Debt Domain, IntraLinks, SyndTrak Online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 “public-side” Lenders (</w:t>
      </w:r>
      <w:r>
        <w:rPr>
          <w:rFonts w:ascii="Arial" w:cs="Arial" w:eastAsia="Arial" w:hAnsi="Arial"/>
          <w:sz w:val="17"/>
          <w:szCs w:val="17"/>
          <w:u w:val="single" w:color="auto"/>
          <w:color w:val="auto"/>
        </w:rPr>
        <w:t>i.e.</w:t>
      </w:r>
      <w:r>
        <w:rPr>
          <w:rFonts w:ascii="Arial" w:cs="Arial" w:eastAsia="Arial" w:hAnsi="Arial"/>
          <w:sz w:val="17"/>
          <w:szCs w:val="17"/>
          <w:color w:val="auto"/>
        </w:rPr>
        <w:t>, Lenders that do not wish to receive material non-public information with respect to the Borrowers or their respective securities)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each Borrower shall be deemed to have authorized the Administrative Agent, the Arrangers, the Issuing Lenders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12.10</w:t>
      </w:r>
      <w:r>
        <w:rPr>
          <w:rFonts w:ascii="Arial" w:cs="Arial" w:eastAsia="Arial" w:hAnsi="Arial"/>
          <w:sz w:val="17"/>
          <w:szCs w:val="17"/>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44"/>
          </w:cols>
          <w:pgMar w:left="436" w:top="274" w:right="519" w:bottom="1440" w:gutter="0" w:footer="0" w:header="0"/>
        </w:sectPr>
      </w:pPr>
    </w:p>
    <w:bookmarkStart w:id="124" w:name="page125"/>
    <w:bookmarkEnd w:id="124"/>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8.3 </w:t>
      </w:r>
      <w:r>
        <w:rPr>
          <w:rFonts w:ascii="Arial" w:cs="Arial" w:eastAsia="Arial" w:hAnsi="Arial"/>
          <w:sz w:val="18"/>
          <w:szCs w:val="18"/>
          <w:u w:val="single" w:color="auto"/>
          <w:color w:val="auto"/>
        </w:rPr>
        <w:t>Notice of Litigation and Other Matters</w:t>
      </w:r>
      <w:r>
        <w:rPr>
          <w:rFonts w:ascii="Arial" w:cs="Arial" w:eastAsia="Arial" w:hAnsi="Arial"/>
          <w:sz w:val="18"/>
          <w:szCs w:val="18"/>
          <w:color w:val="auto"/>
        </w:rPr>
        <w:t>. Promptly (but in no event later than ten (10) Business Days after any Responsible Officer of any Credit Party obtains knowledge thereof) notify the Administrative Agent in writing of (which shall promptly make such information available to the Lenders in accordance with its customary practice):</w:t>
      </w:r>
    </w:p>
    <w:p>
      <w:pPr>
        <w:spacing w:after="0" w:line="184" w:lineRule="exact"/>
        <w:rPr>
          <w:sz w:val="20"/>
          <w:szCs w:val="20"/>
          <w:color w:val="auto"/>
        </w:rPr>
      </w:pPr>
    </w:p>
    <w:p>
      <w:pPr>
        <w:ind w:left="820" w:hanging="384"/>
        <w:spacing w:after="0"/>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25" w:lineRule="exact"/>
        <w:rPr>
          <w:rFonts w:ascii="Arial" w:cs="Arial" w:eastAsia="Arial" w:hAnsi="Arial"/>
          <w:sz w:val="18"/>
          <w:szCs w:val="18"/>
          <w:color w:val="auto"/>
        </w:rPr>
      </w:pPr>
    </w:p>
    <w:p>
      <w:pPr>
        <w:ind w:firstLine="436"/>
        <w:spacing w:after="0" w:line="286" w:lineRule="auto"/>
        <w:tabs>
          <w:tab w:leader="none" w:pos="83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if adversely determined could reasonably be expected to result in a Material Adverse Effect;</w:t>
      </w:r>
    </w:p>
    <w:p>
      <w:pPr>
        <w:spacing w:after="0" w:line="165" w:lineRule="exact"/>
        <w:rPr>
          <w:rFonts w:ascii="Arial" w:cs="Arial" w:eastAsia="Arial" w:hAnsi="Arial"/>
          <w:sz w:val="17"/>
          <w:szCs w:val="17"/>
          <w:color w:val="auto"/>
        </w:rPr>
      </w:pPr>
    </w:p>
    <w:p>
      <w:pPr>
        <w:jc w:val="both"/>
        <w:ind w:right="360" w:firstLine="436"/>
        <w:spacing w:after="0" w:line="342" w:lineRule="auto"/>
        <w:tabs>
          <w:tab w:leader="none" w:pos="8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any notice of any violation received by any Credit Party or any Subsidiary thereof from any Governmental Authority including, without limitation, any notice of violation of Environmental Laws which in any such case could reasonably be expected to have a Material Adverse Effect;</w:t>
      </w:r>
    </w:p>
    <w:p>
      <w:pPr>
        <w:spacing w:after="0" w:line="123" w:lineRule="exact"/>
        <w:rPr>
          <w:rFonts w:ascii="Arial" w:cs="Arial" w:eastAsia="Arial" w:hAnsi="Arial"/>
          <w:sz w:val="16"/>
          <w:szCs w:val="16"/>
          <w:color w:val="auto"/>
        </w:rPr>
      </w:pPr>
    </w:p>
    <w:p>
      <w:pPr>
        <w:ind w:right="200" w:firstLine="436"/>
        <w:spacing w:after="0" w:line="277" w:lineRule="auto"/>
        <w:tabs>
          <w:tab w:leader="none" w:pos="83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labor controversy that has resulted in, or threatens to result in, a strike or other work action against any Credit Party or any Subsidiary thereof which could reasonably be expected to have a Material Adverse Effect;</w:t>
      </w:r>
    </w:p>
    <w:p>
      <w:pPr>
        <w:spacing w:after="0" w:line="170" w:lineRule="exact"/>
        <w:rPr>
          <w:rFonts w:ascii="Arial" w:cs="Arial" w:eastAsia="Arial" w:hAnsi="Arial"/>
          <w:sz w:val="18"/>
          <w:szCs w:val="18"/>
          <w:color w:val="auto"/>
        </w:rPr>
      </w:pPr>
    </w:p>
    <w:p>
      <w:pPr>
        <w:ind w:right="80" w:firstLine="436"/>
        <w:spacing w:after="0" w:line="277" w:lineRule="auto"/>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attachment, judgment, lien (other than Permitted Liens), levy or order exceeding the Threshold Amount that may be assessed against or threatened in writing against any Credit Party or any Subsidiary thereof;</w:t>
      </w:r>
    </w:p>
    <w:p>
      <w:pPr>
        <w:spacing w:after="0" w:line="170" w:lineRule="exact"/>
        <w:rPr>
          <w:rFonts w:ascii="Arial" w:cs="Arial" w:eastAsia="Arial" w:hAnsi="Arial"/>
          <w:sz w:val="18"/>
          <w:szCs w:val="18"/>
          <w:color w:val="auto"/>
        </w:rPr>
      </w:pPr>
    </w:p>
    <w:p>
      <w:pPr>
        <w:jc w:val="both"/>
        <w:ind w:firstLine="436"/>
        <w:spacing w:after="0" w:line="263" w:lineRule="auto"/>
        <w:tabs>
          <w:tab w:leader="none" w:pos="8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event which constitutes or which with the passage of time or giving of notice or both would constitute a default or event of default under any contract or other agreement, written or oral, of any Credit Party or any of its Subsidiaries involving monetary liability of or to any such Person in an amount in excess of $35,000,000 per annum;</w:t>
      </w:r>
    </w:p>
    <w:p>
      <w:pPr>
        <w:spacing w:after="0" w:line="183" w:lineRule="exact"/>
        <w:rPr>
          <w:rFonts w:ascii="Arial" w:cs="Arial" w:eastAsia="Arial" w:hAnsi="Arial"/>
          <w:sz w:val="18"/>
          <w:szCs w:val="18"/>
          <w:color w:val="auto"/>
        </w:rPr>
      </w:pPr>
    </w:p>
    <w:p>
      <w:pPr>
        <w:ind w:right="80" w:firstLine="436"/>
        <w:spacing w:after="0" w:line="253" w:lineRule="auto"/>
        <w:tabs>
          <w:tab w:leader="none" w:pos="83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the Borrowers obtaining knowledge or reason to know that any Credit Party or any ERISA Affiliate has filed or intends to file a notice of intent to terminate any Pension Plan under a distress termination within the meaning of Section 4041(c) of ERISA, or any notice of intent to terminate in whole or in part any Canadian Employee Benefit Plan under Canadian Pension Laws or otherwise that, in each case, is filed with or by the PBGC or other Governmental Authority applicable to Canadian Employee Benefit Plans by any Credit Party or any ERISA Affiliate or otherwise received by any Credit Party or any ERISA Affiliate; and</w:t>
      </w:r>
    </w:p>
    <w:p>
      <w:pPr>
        <w:spacing w:after="0" w:line="196" w:lineRule="exact"/>
        <w:rPr>
          <w:rFonts w:ascii="Arial" w:cs="Arial" w:eastAsia="Arial" w:hAnsi="Arial"/>
          <w:sz w:val="18"/>
          <w:szCs w:val="18"/>
          <w:color w:val="auto"/>
        </w:rPr>
      </w:pPr>
    </w:p>
    <w:p>
      <w:pPr>
        <w:ind w:right="160" w:firstLine="436"/>
        <w:spacing w:after="0" w:line="263" w:lineRule="auto"/>
        <w:tabs>
          <w:tab w:leader="none" w:pos="83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any event which makes any of the representations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is subject to materiality or Material Adverse Effect qualifications inaccurate in any respect or any event which makes any of the representations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is not subject to materiality or Material Adverse Effect qualifications inaccurate in any material respect.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60"/>
          </w:cols>
          <w:pgMar w:left="440" w:top="274" w:right="499" w:bottom="1440" w:gutter="0" w:footer="0" w:header="0"/>
        </w:sectPr>
      </w:pPr>
    </w:p>
    <w:bookmarkStart w:id="125" w:name="page126"/>
    <w:bookmarkEnd w:id="125"/>
    <w:p>
      <w:pPr>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notice pursuant to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be accompanied by a statement of a Responsible Officer of Centuri setting forth details of the occurrence referred to therein and stating what action Centuri has taken and proposes to take with respect thereto. Each notice pursuant to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6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Preservation of Corporate Existence and Related Matters</w:t>
      </w:r>
      <w:r>
        <w:rPr>
          <w:rFonts w:ascii="Arial" w:cs="Arial" w:eastAsia="Arial" w:hAnsi="Arial"/>
          <w:sz w:val="18"/>
          <w:szCs w:val="18"/>
          <w:color w:val="auto"/>
        </w:rPr>
        <w:t xml:space="preserve">. Except as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preserve and maintain its separate corporate existence and all rights, franchises, licenses and privileges necessary to the conduct of its business, and qualify and remain qualified as a foreign corporation or other entity and authorized to do business in each jurisdiction in which the failure to so qualify could reasonably be expected to have a Material Adverse Effect.</w:t>
      </w:r>
    </w:p>
    <w:p>
      <w:pPr>
        <w:spacing w:after="0" w:line="295"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Maintenance of Property and Licenses</w:t>
      </w:r>
      <w:r>
        <w:rPr>
          <w:rFonts w:ascii="Arial" w:cs="Arial" w:eastAsia="Arial" w:hAnsi="Arial"/>
          <w:sz w:val="16"/>
          <w:szCs w:val="16"/>
          <w:color w:val="auto"/>
        </w:rPr>
        <w:t>.</w:t>
      </w:r>
    </w:p>
    <w:p>
      <w:pPr>
        <w:spacing w:after="0" w:line="117" w:lineRule="exact"/>
        <w:rPr>
          <w:sz w:val="20"/>
          <w:szCs w:val="20"/>
          <w:color w:val="auto"/>
        </w:rPr>
      </w:pPr>
    </w:p>
    <w:p>
      <w:pPr>
        <w:ind w:right="260" w:firstLine="436"/>
        <w:spacing w:after="0" w:line="296" w:lineRule="auto"/>
        <w:tabs>
          <w:tab w:leader="none" w:pos="8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Protect and preserve all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except as such action or inaction could not reasonably be expected to result in a Material Adverse Effect.</w:t>
      </w:r>
    </w:p>
    <w:p>
      <w:pPr>
        <w:spacing w:after="0" w:line="161" w:lineRule="exact"/>
        <w:rPr>
          <w:rFonts w:ascii="Arial" w:cs="Arial" w:eastAsia="Arial" w:hAnsi="Arial"/>
          <w:sz w:val="16"/>
          <w:szCs w:val="16"/>
          <w:color w:val="auto"/>
        </w:rPr>
      </w:pPr>
    </w:p>
    <w:p>
      <w:pPr>
        <w:ind w:right="360" w:firstLine="436"/>
        <w:spacing w:after="0" w:line="286" w:lineRule="auto"/>
        <w:tabs>
          <w:tab w:leader="none" w:pos="83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Maintain, in full force and effect in all material respects, each and every material license, permit, certification, qualification, approval or franchise issued by any Governmental Authority (each a “</w:t>
      </w:r>
      <w:r>
        <w:rPr>
          <w:rFonts w:ascii="Arial" w:cs="Arial" w:eastAsia="Arial" w:hAnsi="Arial"/>
          <w:sz w:val="17"/>
          <w:szCs w:val="17"/>
          <w:u w:val="single" w:color="auto"/>
          <w:color w:val="auto"/>
        </w:rPr>
        <w:t>License</w:t>
      </w:r>
      <w:r>
        <w:rPr>
          <w:rFonts w:ascii="Arial" w:cs="Arial" w:eastAsia="Arial" w:hAnsi="Arial"/>
          <w:sz w:val="17"/>
          <w:szCs w:val="17"/>
          <w:color w:val="auto"/>
        </w:rPr>
        <w:t>”) required for each of them to conduct their respective businesses as presently conducted, except where the failure to do so could not reasonably be expected to have a Material Adverse Effect.</w:t>
      </w:r>
    </w:p>
    <w:p>
      <w:pPr>
        <w:spacing w:after="0" w:line="16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Insurance</w:t>
      </w:r>
      <w:r>
        <w:rPr>
          <w:rFonts w:ascii="Arial" w:cs="Arial" w:eastAsia="Arial" w:hAnsi="Arial"/>
          <w:sz w:val="16"/>
          <w:szCs w:val="16"/>
          <w:color w:val="auto"/>
        </w:rPr>
        <w:t>. Maintain insurance with financially sound and reputable insurance companies against at least such risks and in at least such amounts as are customarily maintained by similar businesses and as may be required by Applicable Law (including, without limitation, hazard and business interruption insurance). All such insurance shall, (a) provide that no cancellation or material modification thereof shall be effective until at least 30 days after receipt by the Administrative Agent of written notice thereof (except as a result of non-payment of premium in which case only 10 days’ prior written notice shall be required) and (b) name the Administrative Agent as an additional insured party (or in the case of each casualty insurance policy, name the Administrative Agent as lender’s loss payee) thereunder.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w:t>
      </w:r>
    </w:p>
    <w:p>
      <w:pPr>
        <w:spacing w:after="0" w:line="16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Accounting Methods and Financial Records</w:t>
      </w:r>
      <w:r>
        <w:rPr>
          <w:rFonts w:ascii="Arial" w:cs="Arial" w:eastAsia="Arial" w:hAnsi="Arial"/>
          <w:sz w:val="16"/>
          <w:szCs w:val="16"/>
          <w:color w:val="auto"/>
        </w:rPr>
        <w:t>. Maintain a system of accounting, and keep proper books, records and 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spacing w:after="0" w:line="14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Payment of Taxes and Other Obligations</w:t>
      </w:r>
      <w:r>
        <w:rPr>
          <w:rFonts w:ascii="Arial" w:cs="Arial" w:eastAsia="Arial" w:hAnsi="Arial"/>
          <w:sz w:val="18"/>
          <w:szCs w:val="18"/>
          <w:color w:val="auto"/>
        </w:rPr>
        <w:t>. Pay and perform (a) all taxes, assessments and other governmental charges that may be levied or assessed upon it or any of its Property and (b) all other Indebtedness, obligations and liabilities in accordance with customary trade practices, except where the failure to pay or perform such items described in clauses (a) or (b) of this Section could not reasonably be expected to have a Material Adverse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80"/>
          </w:cols>
          <w:pgMar w:left="440" w:top="274" w:right="479" w:bottom="1440" w:gutter="0" w:footer="0" w:header="0"/>
        </w:sectPr>
      </w:pPr>
    </w:p>
    <w:bookmarkStart w:id="126" w:name="page127"/>
    <w:bookmarkEnd w:id="126"/>
    <w:p>
      <w:pPr>
        <w:ind w:left="4"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8.9 </w:t>
      </w:r>
      <w:r>
        <w:rPr>
          <w:rFonts w:ascii="Arial" w:cs="Arial" w:eastAsia="Arial" w:hAnsi="Arial"/>
          <w:sz w:val="18"/>
          <w:szCs w:val="18"/>
          <w:u w:val="single" w:color="auto"/>
          <w:color w:val="auto"/>
        </w:rPr>
        <w:t>Compliance with Laws and Approvals</w:t>
      </w:r>
      <w:r>
        <w:rPr>
          <w:rFonts w:ascii="Arial" w:cs="Arial" w:eastAsia="Arial" w:hAnsi="Arial"/>
          <w:sz w:val="18"/>
          <w:szCs w:val="18"/>
          <w:color w:val="auto"/>
        </w:rPr>
        <w:t>. Observe and remain in compliance in all material respects with all Applicable Laws and maintain in full force and effect all Governmental Approvals, in each case applicable to the conduct of its business except where the failure to do so could not reasonably be expected to have a Material Adverse Effect.</w:t>
      </w:r>
    </w:p>
    <w:p>
      <w:pPr>
        <w:spacing w:after="0" w:line="184"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In addition to and without limiting the generality of </w:t>
      </w:r>
      <w:r>
        <w:rPr>
          <w:rFonts w:ascii="Arial" w:cs="Arial" w:eastAsia="Arial" w:hAnsi="Arial"/>
          <w:sz w:val="16"/>
          <w:szCs w:val="16"/>
          <w:u w:val="single" w:color="auto"/>
          <w:color w:val="auto"/>
        </w:rPr>
        <w:t>Section 8.9</w:t>
      </w:r>
      <w:r>
        <w:rPr>
          <w:rFonts w:ascii="Arial" w:cs="Arial" w:eastAsia="Arial" w:hAnsi="Arial"/>
          <w:sz w:val="16"/>
          <w:szCs w:val="16"/>
          <w:color w:val="auto"/>
        </w:rPr>
        <w:t>, (a) comply with, and take commercially reasonable efforts to ensure such compliance by all tenants and subtenants with all applicable Environmental Laws and obtain and comply with and maintain, and take commercially reasonable efforts to ensure that all tenants and subtenants, if any, obtain and comply with and maintain, any and all licenses, approvals, notifications, registrations or permits required by applicable Environmental Laws, except with respect to any matters that could not reasonably be expected to result in a Material Adverse Effect,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presence of Hazardous Materials, or the violation of, noncompliance with or liability under any Environmental Laws applicable to the operations of the Consolidated Companies,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directly result from the gross negligence, willful misconduct or breach in bad faith of obligations of the party seeking indemnification therefor, as determined by a court of competent jurisdiction by final nonappealable judgment.</w:t>
      </w:r>
    </w:p>
    <w:p>
      <w:pPr>
        <w:spacing w:after="0" w:line="171"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u w:val="single" w:color="auto"/>
          <w:color w:val="auto"/>
        </w:rPr>
        <w:t>Compliance with ERISA and Canadian Pension Laws</w:t>
      </w:r>
      <w:r>
        <w:rPr>
          <w:rFonts w:ascii="Arial" w:cs="Arial" w:eastAsia="Arial" w:hAnsi="Arial"/>
          <w:sz w:val="16"/>
          <w:szCs w:val="16"/>
          <w:color w:val="auto"/>
        </w:rPr>
        <w:t>. In addition to and without limiting the generality of</w:t>
      </w:r>
      <w:r>
        <w:rPr>
          <w:rFonts w:ascii="Arial" w:cs="Arial" w:eastAsia="Arial" w:hAnsi="Arial"/>
          <w:sz w:val="16"/>
          <w:szCs w:val="16"/>
          <w:u w:val="single" w:color="auto"/>
          <w:color w:val="auto"/>
        </w:rPr>
        <w:t xml:space="preserve"> Section 8.9</w:t>
      </w:r>
      <w:r>
        <w:rPr>
          <w:rFonts w:ascii="Arial" w:cs="Arial" w:eastAsia="Arial" w:hAnsi="Arial"/>
          <w:sz w:val="16"/>
          <w:szCs w:val="16"/>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7"/>
          <w:szCs w:val="17"/>
          <w:color w:val="auto"/>
        </w:rPr>
        <w:t>(a) except where the failure to so comply could not, individually or in the aggregate, reasonably be expected to have a Material Adverse Effect,</w:t>
      </w:r>
    </w:p>
    <w:p>
      <w:pPr>
        <w:spacing w:after="0" w:line="21" w:lineRule="exact"/>
        <w:rPr>
          <w:sz w:val="20"/>
          <w:szCs w:val="20"/>
          <w:color w:val="auto"/>
        </w:rPr>
      </w:pPr>
    </w:p>
    <w:p>
      <w:pPr>
        <w:ind w:left="4" w:right="260" w:hanging="4"/>
        <w:spacing w:after="0" w:line="281" w:lineRule="auto"/>
        <w:tabs>
          <w:tab w:leader="none" w:pos="21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comply with applicable provisions of ERISA, the Code and the regulations and published interpretations thereunder with respect to all Employee Benefit Plans and with Canadian Pension Laws with respect to all Canadian Employee Benefit Plans, (ii) not take any action or fail to take action the result of which could reasonably be expected to result in a liability to the PBGC or to a Multiemployer Plan or to a Canadian Multiemployer Plan,</w:t>
      </w:r>
    </w:p>
    <w:p>
      <w:pPr>
        <w:spacing w:after="0" w:line="1" w:lineRule="exact"/>
        <w:rPr>
          <w:rFonts w:ascii="Arial" w:cs="Arial" w:eastAsia="Arial" w:hAnsi="Arial"/>
          <w:sz w:val="16"/>
          <w:szCs w:val="16"/>
          <w:color w:val="auto"/>
        </w:rPr>
      </w:pPr>
    </w:p>
    <w:p>
      <w:pPr>
        <w:ind w:left="4" w:hanging="4"/>
        <w:spacing w:after="0" w:line="268" w:lineRule="auto"/>
        <w:tabs>
          <w:tab w:leader="none" w:pos="31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not participate in any prohibited transaction that could result in any civil penalty under ERISA or tax under the Code or any penalty or tax under Canadian Pension Laws and (iv) operate each Employee Benefit Plan in such a manner that will not incur any tax liability under Section 4980B of the Code or any liability to any qualified beneficiary as defined in Section 4980B of the Code, (b) comply with and perform in all material respects all of their obligations, including any fiduciary, funding, investment and administration obligations, under and in respect of each Canadian Employee Benefit Plan under the terms thereof, any funding agreements, and all Applicable Laws, and (c) furnish to the Administrative Agent upon the Administrative Agent’s request such additional information about any Employee Benefit Plan or Canadian Employee Benefit Plan as may be reasonably requested by the Administrative Agent. No Credit Party nor any Subsidiary shall at any time terminate or wind-up a Canadian Employee Benefit Plan unless there are no Canadian Pension Plan Unfunded Liabilities in excess of the Threshold Amount.</w:t>
      </w:r>
    </w:p>
    <w:p>
      <w:pPr>
        <w:spacing w:after="0" w:line="183"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6"/>
          <w:szCs w:val="16"/>
          <w:u w:val="single" w:color="auto"/>
          <w:color w:val="auto"/>
        </w:rPr>
        <w:t>Maintenance of Debt Ratings</w:t>
      </w:r>
      <w:r>
        <w:rPr>
          <w:rFonts w:ascii="Arial" w:cs="Arial" w:eastAsia="Arial" w:hAnsi="Arial"/>
          <w:sz w:val="16"/>
          <w:szCs w:val="16"/>
          <w:color w:val="auto"/>
        </w:rPr>
        <w:t>. Use commercially reasonable efforts to maintain all Debt Ratings.</w:t>
      </w:r>
    </w:p>
    <w:p>
      <w:pPr>
        <w:spacing w:after="0" w:line="225"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Visits and Inspections</w:t>
      </w:r>
      <w:r>
        <w:rPr>
          <w:rFonts w:ascii="Arial" w:cs="Arial" w:eastAsia="Arial" w:hAnsi="Arial"/>
          <w:sz w:val="18"/>
          <w:szCs w:val="18"/>
          <w:color w:val="auto"/>
        </w:rPr>
        <w:t>. Permit representatives of the Administrative Agent or any Lender, from time to time upon prior reasonable notice and at such times during normal business hours, all at the expense of the Borrowers, to visit and inspect its properties; inspect, audit and make extracts from</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84"/>
          </w:cols>
          <w:pgMar w:left="436" w:top="274" w:right="479" w:bottom="1440" w:gutter="0" w:footer="0" w:header="0"/>
        </w:sectPr>
      </w:pPr>
    </w:p>
    <w:bookmarkStart w:id="127" w:name="page128"/>
    <w:bookmarkEnd w:id="127"/>
    <w:p>
      <w:pPr>
        <w:ind w:left="4"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excluding any such visits and inspections during the continuation of an Event of Default, the Administrative Agent shall not exercise such rights more often than one (1) time during any calendar year at the Borrowers’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upon the occurrence and during the continuance of an Event of Default, the Administrative Agent or any Lender may do any of the foregoing at the expense of the Borrowers at any time without advance notice. Upon the request of the Administrative Agent or the Required Lenders, participate in a meeting of the Administrative Agent and Lenders once during each Fiscal Year, which meeting will be held at Centuri’s corporate offices (or such other location as may be agreed to by Centuri and the Administrative Agent) at such time as may be agreed by Centuri and the Administrative Agent.</w:t>
      </w:r>
    </w:p>
    <w:p>
      <w:pPr>
        <w:spacing w:after="0" w:line="286"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8.14</w:t>
      </w:r>
      <w:r>
        <w:rPr>
          <w:sz w:val="20"/>
          <w:szCs w:val="20"/>
          <w:color w:val="auto"/>
        </w:rPr>
        <w:tab/>
      </w:r>
      <w:r>
        <w:rPr>
          <w:rFonts w:ascii="Arial" w:cs="Arial" w:eastAsia="Arial" w:hAnsi="Arial"/>
          <w:sz w:val="16"/>
          <w:szCs w:val="16"/>
          <w:u w:val="single" w:color="auto"/>
          <w:color w:val="auto"/>
        </w:rPr>
        <w:t>Additional Subsidiaries and Collateral</w:t>
      </w:r>
      <w:r>
        <w:rPr>
          <w:rFonts w:ascii="Arial" w:cs="Arial" w:eastAsia="Arial" w:hAnsi="Arial"/>
          <w:sz w:val="16"/>
          <w:szCs w:val="16"/>
          <w:color w:val="auto"/>
        </w:rPr>
        <w:t>.</w:t>
      </w:r>
    </w:p>
    <w:p>
      <w:pPr>
        <w:spacing w:after="0" w:line="117" w:lineRule="exact"/>
        <w:rPr>
          <w:sz w:val="20"/>
          <w:szCs w:val="20"/>
          <w:color w:val="auto"/>
        </w:rPr>
      </w:pPr>
    </w:p>
    <w:p>
      <w:pPr>
        <w:ind w:left="4" w:firstLine="436"/>
        <w:spacing w:after="0" w:line="285" w:lineRule="auto"/>
        <w:tabs>
          <w:tab w:leader="none" w:pos="824"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Additional US Subsidiaries</w:t>
      </w:r>
      <w:r>
        <w:rPr>
          <w:rFonts w:ascii="Arial" w:cs="Arial" w:eastAsia="Arial" w:hAnsi="Arial"/>
          <w:sz w:val="16"/>
          <w:szCs w:val="16"/>
          <w:color w:val="auto"/>
        </w:rPr>
        <w:t>. Promptly after (x) the creation or acquisition (including by statutory division) of any US Subsidiary (other than an Excluded Subsidiary), (y) any US Subsidiary that is an Excluded Subsidiary failing to constitute an Excluded Subsidiary or (z) the re-designation of any Immaterial Subsidiary (and, in any event, within thirty (30) days after such event, as such time period may be extended by the Administrative Agent in its sole discretion) cause such Person to (i) either (A) become a US Subsidiary Guarantor by delivering to the Administrative Agent a duly executed supplement to the US Credit Party Guaranty Agreement or such other document as the Administrative Agent shall deem appropriate for such purpose, or</w:t>
      </w:r>
    </w:p>
    <w:p>
      <w:pPr>
        <w:spacing w:after="0" w:line="1" w:lineRule="exact"/>
        <w:rPr>
          <w:rFonts w:ascii="Arial" w:cs="Arial" w:eastAsia="Arial" w:hAnsi="Arial"/>
          <w:sz w:val="16"/>
          <w:szCs w:val="16"/>
          <w:color w:val="auto"/>
        </w:rPr>
      </w:pPr>
    </w:p>
    <w:p>
      <w:pPr>
        <w:ind w:left="4" w:right="20" w:hanging="4"/>
        <w:spacing w:after="0" w:line="281" w:lineRule="auto"/>
        <w:tabs>
          <w:tab w:leader="none" w:pos="28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become an Additional Borrower in compliance with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(ii) grant a security interest, to secure all Secured Obligations, in all Collateral (subject to the exceptions specified in the US Collateral Agreement) owned by such US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w:t>
      </w:r>
    </w:p>
    <w:p>
      <w:pPr>
        <w:spacing w:after="0" w:line="4" w:lineRule="exact"/>
        <w:rPr>
          <w:rFonts w:ascii="Arial" w:cs="Arial" w:eastAsia="Arial" w:hAnsi="Arial"/>
          <w:sz w:val="16"/>
          <w:szCs w:val="16"/>
          <w:color w:val="auto"/>
        </w:rPr>
      </w:pPr>
    </w:p>
    <w:p>
      <w:pPr>
        <w:ind w:left="4" w:right="340"/>
        <w:spacing w:after="0" w:line="260" w:lineRule="auto"/>
        <w:rPr>
          <w:rFonts w:ascii="Arial" w:cs="Arial" w:eastAsia="Arial" w:hAnsi="Arial"/>
          <w:sz w:val="16"/>
          <w:szCs w:val="16"/>
          <w:color w:val="auto"/>
        </w:rPr>
      </w:pPr>
      <w:r>
        <w:rPr>
          <w:rFonts w:ascii="Arial" w:cs="Arial" w:eastAsia="Arial" w:hAnsi="Arial"/>
          <w:sz w:val="18"/>
          <w:szCs w:val="18"/>
          <w:color w:val="auto"/>
        </w:rPr>
        <w:t>(vi) deliver to the Administrative Agent such other documents as may be reasonably requested by the Administrative Agent, all in form, content and scope reasonably satisfactory to the Administrative Agent.</w:t>
      </w:r>
    </w:p>
    <w:p>
      <w:pPr>
        <w:spacing w:after="0" w:line="185" w:lineRule="exact"/>
        <w:rPr>
          <w:rFonts w:ascii="Arial" w:cs="Arial" w:eastAsia="Arial" w:hAnsi="Arial"/>
          <w:sz w:val="16"/>
          <w:szCs w:val="16"/>
          <w:color w:val="auto"/>
        </w:rPr>
      </w:pPr>
    </w:p>
    <w:p>
      <w:pPr>
        <w:ind w:left="4" w:right="20" w:firstLine="436"/>
        <w:spacing w:after="0" w:line="269" w:lineRule="auto"/>
        <w:tabs>
          <w:tab w:leader="none" w:pos="834"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Additional Canadian Subsidiaries</w:t>
      </w:r>
      <w:r>
        <w:rPr>
          <w:rFonts w:ascii="Arial" w:cs="Arial" w:eastAsia="Arial" w:hAnsi="Arial"/>
          <w:sz w:val="17"/>
          <w:szCs w:val="17"/>
          <w:color w:val="auto"/>
        </w:rPr>
        <w:t xml:space="preserve">. Promptly after (x) the creation or acquisition of any Canadian Subsidiary (other than an Excluded Subsidiary), (y) any Canadian Subsidiary that is an Excluded Subsidiary failing to constitute an Excluded Subsidiary or (z) the re-designation of any Immaterial Subsidiary (and in any event within thirty (30) days after such event, as such time period may be extended by the Administrative Agent in its sole discretion) cause such Canadian Subsidiary to (i) either (A) become a Canadian Subsidiary Guarantor by delivering to the Administrative Agent a duly executed supplement to the Canadian Credit Party Guarantee Agreement or such other document as the Administrative Agent shall deem appropriate for such purpose, or (B) become an Additional Borrower in compliance with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(ii) grant a security interest, to secure all Canadian Secured Obligations, in all Collateral (subject to the exceptions specified in the Canadian Collateral Agreement) owned by such Canadian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4"/>
          </w:cols>
          <w:pgMar w:left="436" w:top="274" w:right="459" w:bottom="1440" w:gutter="0" w:footer="0" w:header="0"/>
        </w:sectPr>
      </w:pPr>
    </w:p>
    <w:bookmarkStart w:id="128" w:name="page129"/>
    <w:bookmarkEnd w:id="128"/>
    <w:p>
      <w:pPr>
        <w:ind w:left="4" w:right="200" w:hanging="4"/>
        <w:spacing w:after="0" w:line="263" w:lineRule="auto"/>
        <w:tabs>
          <w:tab w:leader="none" w:pos="2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83" w:lineRule="exact"/>
        <w:rPr>
          <w:rFonts w:ascii="Arial" w:cs="Arial" w:eastAsia="Arial" w:hAnsi="Arial"/>
          <w:sz w:val="18"/>
          <w:szCs w:val="18"/>
          <w:color w:val="auto"/>
        </w:rPr>
      </w:pPr>
    </w:p>
    <w:p>
      <w:pPr>
        <w:ind w:left="4" w:right="20" w:firstLine="436"/>
        <w:spacing w:after="0" w:line="283" w:lineRule="auto"/>
        <w:tabs>
          <w:tab w:leader="none" w:pos="824"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Additional First Tier Foreign Subsidiaries</w:t>
      </w:r>
      <w:r>
        <w:rPr>
          <w:rFonts w:ascii="Arial" w:cs="Arial" w:eastAsia="Arial" w:hAnsi="Arial"/>
          <w:sz w:val="16"/>
          <w:szCs w:val="16"/>
          <w:color w:val="auto"/>
        </w:rPr>
        <w:t>. Notify the Administrative Agent promptly after any Person becomes a First Tier Foreign Subsidiary, and at the request of the Administrative Agent, promptly thereafter (and, in any event, within forty-five (45) days after such request, as such time period may be extended by the Administrative Agent in its sole discretion), cause (i) the applicable US Credit Party to deliver to the Administrative Agent Security Documents pledging (A) as security for the US Secured Obligations, sixty-six percent (66%) of the total outstanding voting Equity Interests (and one hundred percent (100%) of the non-voting Equity Interests) of any such new First Tier Foreign Subsidiary and (B) as security for the Canadian Secured Obligations, one hundred percent (100%) of the Equity Interests of any such new First Tier Foreign Subsidiary and, in each case, a consent thereto executed by such new First Tier Foreign Subsidiary (including, without limitation, if applicable, original stock certificates (or the equivalent thereof pursuant to the Applicable Laws and practices of any relevant foreign jurisdiction) evidencing the Equity Interests of such new First Tier Foreign Subsidiary, together with an appropriate undated stock power for each certificate duly executed in blank by the registered owner thereof),</w:t>
      </w:r>
    </w:p>
    <w:p>
      <w:pPr>
        <w:spacing w:after="0" w:line="5" w:lineRule="exact"/>
        <w:rPr>
          <w:rFonts w:ascii="Arial" w:cs="Arial" w:eastAsia="Arial" w:hAnsi="Arial"/>
          <w:sz w:val="16"/>
          <w:szCs w:val="16"/>
          <w:color w:val="auto"/>
        </w:rPr>
      </w:pPr>
    </w:p>
    <w:p>
      <w:pPr>
        <w:ind w:left="4" w:right="140" w:hanging="4"/>
        <w:spacing w:after="0" w:line="295" w:lineRule="auto"/>
        <w:tabs>
          <w:tab w:leader="none" w:pos="26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such Person to deliver to the Administrative Agent such opinions, documents and certificates referred to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61" w:lineRule="exact"/>
        <w:rPr>
          <w:rFonts w:ascii="Arial" w:cs="Arial" w:eastAsia="Arial" w:hAnsi="Arial"/>
          <w:sz w:val="16"/>
          <w:szCs w:val="16"/>
          <w:color w:val="auto"/>
        </w:rPr>
      </w:pPr>
    </w:p>
    <w:p>
      <w:pPr>
        <w:ind w:left="4" w:right="40" w:firstLine="436"/>
        <w:spacing w:after="0" w:line="293" w:lineRule="auto"/>
        <w:tabs>
          <w:tab w:leader="none" w:pos="834"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Merger Subsidiaries</w:t>
      </w:r>
      <w:r>
        <w:rPr>
          <w:rFonts w:ascii="Arial" w:cs="Arial" w:eastAsia="Arial" w:hAnsi="Arial"/>
          <w:sz w:val="16"/>
          <w:szCs w:val="16"/>
          <w:color w:val="auto"/>
        </w:rPr>
        <w:t xml:space="preserve">.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 such new Subsidiary shall not be required to take the actions set forth in </w:t>
      </w:r>
      <w:r>
        <w:rPr>
          <w:rFonts w:ascii="Arial" w:cs="Arial" w:eastAsia="Arial" w:hAnsi="Arial"/>
          <w:sz w:val="16"/>
          <w:szCs w:val="16"/>
          <w:u w:val="single" w:color="auto"/>
          <w:color w:val="auto"/>
        </w:rPr>
        <w:t>Section 8.14(a)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until the consummation of such Permitted Acquisition (at which time, the surviving entity of the respective merger transaction shall be required to so comply with </w:t>
      </w:r>
      <w:r>
        <w:rPr>
          <w:rFonts w:ascii="Arial" w:cs="Arial" w:eastAsia="Arial" w:hAnsi="Arial"/>
          <w:sz w:val="16"/>
          <w:szCs w:val="16"/>
          <w:u w:val="single" w:color="auto"/>
          <w:color w:val="auto"/>
        </w:rPr>
        <w:t>Section 8.14(a)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as applicable, within ten (10) Business Days of the consummation of such Permitted Acquisition, as such time period may be extended by the Administrative Agent in its sole discretion).</w:t>
      </w:r>
    </w:p>
    <w:p>
      <w:pPr>
        <w:spacing w:after="0" w:line="164" w:lineRule="exact"/>
        <w:rPr>
          <w:rFonts w:ascii="Arial" w:cs="Arial" w:eastAsia="Arial" w:hAnsi="Arial"/>
          <w:sz w:val="16"/>
          <w:szCs w:val="16"/>
          <w:color w:val="auto"/>
        </w:rPr>
      </w:pPr>
    </w:p>
    <w:p>
      <w:pPr>
        <w:ind w:left="4" w:firstLine="436"/>
        <w:spacing w:after="0" w:line="287" w:lineRule="auto"/>
        <w:tabs>
          <w:tab w:leader="none" w:pos="824"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Additional Collateral</w:t>
      </w:r>
      <w:r>
        <w:rPr>
          <w:rFonts w:ascii="Arial" w:cs="Arial" w:eastAsia="Arial" w:hAnsi="Arial"/>
          <w:sz w:val="16"/>
          <w:szCs w:val="16"/>
          <w:color w:val="auto"/>
        </w:rPr>
        <w:t>. After the Closing Date, Centuri will notify the Administrative Agent in writing promptly upon any Credit Party’s acquisition (including any acquisition by statutory division) or ownership of any Collateral not already covered by the US Collateral Agreement or Canadian Collateral Agreement, as applicable (such acquisition or ownership being herein called an “</w:t>
      </w:r>
      <w:r>
        <w:rPr>
          <w:rFonts w:ascii="Arial" w:cs="Arial" w:eastAsia="Arial" w:hAnsi="Arial"/>
          <w:sz w:val="16"/>
          <w:szCs w:val="16"/>
          <w:u w:val="single" w:color="auto"/>
          <w:color w:val="auto"/>
        </w:rPr>
        <w:t>Additional Collateral Event</w:t>
      </w:r>
      <w:r>
        <w:rPr>
          <w:rFonts w:ascii="Arial" w:cs="Arial" w:eastAsia="Arial" w:hAnsi="Arial"/>
          <w:sz w:val="16"/>
          <w:szCs w:val="16"/>
          <w:color w:val="auto"/>
        </w:rPr>
        <w:t>” and the property so acquired or owned being herein called “</w:t>
      </w:r>
      <w:r>
        <w:rPr>
          <w:rFonts w:ascii="Arial" w:cs="Arial" w:eastAsia="Arial" w:hAnsi="Arial"/>
          <w:sz w:val="16"/>
          <w:szCs w:val="16"/>
          <w:u w:val="single" w:color="auto"/>
          <w:color w:val="auto"/>
        </w:rPr>
        <w:t>Additional Collateral</w:t>
      </w:r>
      <w:r>
        <w:rPr>
          <w:rFonts w:ascii="Arial" w:cs="Arial" w:eastAsia="Arial" w:hAnsi="Arial"/>
          <w:sz w:val="16"/>
          <w:szCs w:val="16"/>
          <w:color w:val="auto"/>
        </w:rPr>
        <w:t>”). As soon as practicable and in any event within thirty (30) days (or such longer period as the Administrative Agent shall agree) after an Additional Collateral Event, the applicable Credit Party shall (i) execute and deliver or cause to be executed and delivered Security Documents, in form and substance reasonably satisfactory to Administrative Agent, in favor of Administrative Agent and duly executed by the applicable Credit Party, covering and effecting and granting a first-priority Lien (subject to Permitted Liens) upon the applicable Additional Collateral, and such other documents (including, without limitation, certificates and legal opinions, all in form and substance reasonably satisfactory to Administrative Agent) as may be reasonably required by Administrative Agent in connection with the execution and delivery of such Security Documents and (ii) deliver or cause to be delivered by the Consolidated Companies such other documents or certificates consistent with the terms of this Agreement and relating to the transactions contemplated hereby as Administrative Agent may reasonably request.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4"/>
          </w:cols>
          <w:pgMar w:left="436" w:top="274" w:right="459" w:bottom="1440" w:gutter="0" w:footer="0" w:header="0"/>
        </w:sectPr>
      </w:pPr>
    </w:p>
    <w:bookmarkStart w:id="129" w:name="page130"/>
    <w:bookmarkEnd w:id="129"/>
    <w:p>
      <w:pPr>
        <w:ind w:right="8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8.15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Borrowers shall use the proceeds of the Extensions of Credit (a) to finance the Transactions, (b) pay fees, commissions and expenses in connection with the Transactions, and (c) for working capital and general corporate purposes of the Consolidated Companies, including the payment of certain fees and expenses incurred in connection with the Transactions and this Agreement. No Borrower will request any Extension of Credit, nor shall any Borrower use, and each Borrower shall ensure that its Subsidiaries and its or their respective directors, officers, employees and agents shall not use,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Corporate Governance</w:t>
      </w:r>
      <w:r>
        <w:rPr>
          <w:rFonts w:ascii="Arial" w:cs="Arial" w:eastAsia="Arial" w:hAnsi="Arial"/>
          <w:sz w:val="17"/>
          <w:szCs w:val="17"/>
          <w:color w:val="auto"/>
        </w:rPr>
        <w:t xml:space="preserve">. (a) Maintain entity records and books of account separate from those of any other entity which is an Affiliate of such entity, (b) not commingle its funds or assets with those of any other entity which is an Affiliate of such entity (except pursuant to cash management systems reasonably acceptable to the Administrative Agent) and (c) provide that its board of directors (or equivalent governing body) will hold all appropriate meetings, or act by unanimous written consent, to authorize and approve such entity’s actions, which meetings will be separate from those of any other entity which is an Affiliate of such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Centuri and Southwest Administrators, Inc. shall be permitted, at the request of Centuri, to (x) maintain entity records and books of account that are not separate and (y) commingle their funds and assets on an as needed basis to conduct the Consolidated Companies’ business in its ordinary course consistent with past practices.</w:t>
      </w:r>
    </w:p>
    <w:p>
      <w:pPr>
        <w:spacing w:after="0" w:line="17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Credit Parties.</w:t>
      </w:r>
    </w:p>
    <w:p>
      <w:pPr>
        <w:spacing w:after="0" w:line="18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SECTION 8.18 </w:t>
      </w:r>
      <w:r>
        <w:rPr>
          <w:rFonts w:ascii="Arial" w:cs="Arial" w:eastAsia="Arial" w:hAnsi="Arial"/>
          <w:sz w:val="17"/>
          <w:szCs w:val="17"/>
          <w:u w:val="single" w:color="auto"/>
          <w:color w:val="auto"/>
        </w:rPr>
        <w:t>Compliance with Anti-Corruption Laws; Beneficial Ownership Regulation, Anti-Money Laundering Laws and Sanctions</w:t>
      </w:r>
      <w:r>
        <w:rPr>
          <w:rFonts w:ascii="Arial" w:cs="Arial" w:eastAsia="Arial" w:hAnsi="Arial"/>
          <w:sz w:val="17"/>
          <w:szCs w:val="17"/>
          <w:color w:val="auto"/>
        </w:rPr>
        <w:t>. Each Borrower will maintain in effect and enforce policies and procedures designed to ensure compliance by such Borrower, its Subsidiaries and their respective directors, officers, employees and agents (a) in all material respects with Anti-Corruption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requested by it for purposes of complying with the Beneficial Ownership Regulation.</w:t>
      </w:r>
    </w:p>
    <w:p>
      <w:pPr>
        <w:spacing w:after="0" w:line="17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8.19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Execute and deliver the documents and complete the tasks set forth on </w:t>
      </w:r>
      <w:r>
        <w:rPr>
          <w:rFonts w:ascii="Arial" w:cs="Arial" w:eastAsia="Arial" w:hAnsi="Arial"/>
          <w:sz w:val="18"/>
          <w:szCs w:val="18"/>
          <w:u w:val="single" w:color="auto"/>
          <w:color w:val="auto"/>
        </w:rPr>
        <w:t>Schedule 8.19</w:t>
      </w:r>
      <w:r>
        <w:rPr>
          <w:rFonts w:ascii="Arial" w:cs="Arial" w:eastAsia="Arial" w:hAnsi="Arial"/>
          <w:sz w:val="18"/>
          <w:szCs w:val="18"/>
          <w:color w:val="auto"/>
        </w:rPr>
        <w:t>, in each case within the time limits specified on such schedule.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Until all of the Obligations (other than contingent, indemnification obligations not then due) have been paid and satisfied in full in cash, all Letters of Credit have been terminated or expired (or been Cash Collateralized) and the Commitments terminated, the Credit Parties will not, and will not permit any of their respective Subsidiaries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130" w:name="page131"/>
    <w:bookmarkEnd w:id="130"/>
    <w:p>
      <w:pPr>
        <w:ind w:left="444"/>
        <w:spacing w:after="0"/>
        <w:tabs>
          <w:tab w:leader="none" w:pos="1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9.1</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 Create, incur, assume or suffer to exist any Indebtedness except:</w:t>
      </w:r>
    </w:p>
    <w:p>
      <w:pPr>
        <w:spacing w:after="0" w:line="225" w:lineRule="exact"/>
        <w:rPr>
          <w:sz w:val="20"/>
          <w:szCs w:val="20"/>
          <w:color w:val="auto"/>
        </w:rPr>
      </w:pPr>
    </w:p>
    <w:p>
      <w:pPr>
        <w:ind w:left="824" w:hanging="384"/>
        <w:spacing w:after="0"/>
        <w:tabs>
          <w:tab w:leader="none" w:pos="82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ind w:left="4" w:right="60" w:firstLine="436"/>
        <w:spacing w:after="0" w:line="263" w:lineRule="auto"/>
        <w:tabs>
          <w:tab w:leader="none" w:pos="83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Indebtedness and obligations owing (i) under Hedge Agreements entered into in order to manage existing or anticipated interest rate, exchange rate or commodity price risks and not for speculative purposes, or (ii) to Cash Management Banks pursuant to Cash Management Agreements entered into in the ordinary course of business;</w:t>
      </w:r>
    </w:p>
    <w:p>
      <w:pPr>
        <w:spacing w:after="0" w:line="183" w:lineRule="exact"/>
        <w:rPr>
          <w:rFonts w:ascii="Arial" w:cs="Arial" w:eastAsia="Arial" w:hAnsi="Arial"/>
          <w:sz w:val="18"/>
          <w:szCs w:val="18"/>
          <w:color w:val="auto"/>
        </w:rPr>
      </w:pPr>
    </w:p>
    <w:p>
      <w:pPr>
        <w:ind w:left="4" w:right="20" w:firstLine="436"/>
        <w:spacing w:after="0" w:line="270" w:lineRule="auto"/>
        <w:tabs>
          <w:tab w:leader="none" w:pos="824" w:val="left"/>
        </w:tabs>
        <w:numPr>
          <w:ilvl w:val="1"/>
          <w:numId w:val="168"/>
        </w:numPr>
        <w:rPr>
          <w:rFonts w:ascii="Arial" w:cs="Arial" w:eastAsia="Arial" w:hAnsi="Arial"/>
          <w:sz w:val="17"/>
          <w:szCs w:val="17"/>
          <w:color w:val="auto"/>
        </w:rPr>
      </w:pPr>
      <w:r>
        <w:rPr>
          <w:rFonts w:ascii="Arial" w:cs="Arial" w:eastAsia="Arial" w:hAnsi="Arial"/>
          <w:sz w:val="17"/>
          <w:szCs w:val="17"/>
          <w:color w:val="auto"/>
        </w:rPr>
        <w:t xml:space="preserve">Indebtedness existing on the Closing Date and listed on </w:t>
      </w:r>
      <w:r>
        <w:rPr>
          <w:rFonts w:ascii="Arial" w:cs="Arial" w:eastAsia="Arial" w:hAnsi="Arial"/>
          <w:sz w:val="17"/>
          <w:szCs w:val="17"/>
          <w:u w:val="single" w:color="auto"/>
          <w:color w:val="auto"/>
        </w:rPr>
        <w:t>Schedule 9.1</w:t>
      </w:r>
      <w:r>
        <w:rPr>
          <w:rFonts w:ascii="Arial" w:cs="Arial" w:eastAsia="Arial" w:hAnsi="Arial"/>
          <w:sz w:val="17"/>
          <w:szCs w:val="17"/>
          <w:color w:val="auto"/>
        </w:rPr>
        <w:t xml:space="preserve">, and any refinancings, refundings,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principal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final maturity date and Weighted Average Life to Maturity of such refinancing, refunding, renewal or extension shall not be prior to or shorter than that applicable to the Indebtedness prior to such refinancing, refunding, renewal or extension and (iii) any refinancing, refunding, renewal or extension of any Subordinated Indebtedness shall be (A) on subordination terms at least as favorable to the Lenders, (B) no more restrictive on the Consolidated Companies than the Subordinated Indebtedness being refinanced, refunded, renewed or extended and (C) in an amount not less than the amount outstanding at the time of such refinancing, refunding, renewal or extension;</w:t>
      </w:r>
    </w:p>
    <w:p>
      <w:pPr>
        <w:spacing w:after="0" w:line="180" w:lineRule="exact"/>
        <w:rPr>
          <w:rFonts w:ascii="Arial" w:cs="Arial" w:eastAsia="Arial" w:hAnsi="Arial"/>
          <w:sz w:val="17"/>
          <w:szCs w:val="17"/>
          <w:color w:val="auto"/>
        </w:rPr>
      </w:pPr>
    </w:p>
    <w:p>
      <w:pPr>
        <w:jc w:val="both"/>
        <w:ind w:left="4" w:right="280" w:firstLine="436"/>
        <w:spacing w:after="0" w:line="342" w:lineRule="auto"/>
        <w:tabs>
          <w:tab w:leader="none" w:pos="83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Capital Lease Obligations and purchase money Indebtedness, in each case incurred in the ordinary course of business of the Consolidated Companies in an aggregate amount not to exceed at any time outstanding the greater of (i) $200,000,000 and (ii) 7.5% of Consolidated Total Assets;</w:t>
      </w:r>
    </w:p>
    <w:p>
      <w:pPr>
        <w:spacing w:after="0" w:line="123" w:lineRule="exact"/>
        <w:rPr>
          <w:rFonts w:ascii="Arial" w:cs="Arial" w:eastAsia="Arial" w:hAnsi="Arial"/>
          <w:sz w:val="16"/>
          <w:szCs w:val="16"/>
          <w:color w:val="auto"/>
        </w:rPr>
      </w:pPr>
    </w:p>
    <w:p>
      <w:pPr>
        <w:ind w:left="824" w:hanging="384"/>
        <w:spacing w:after="0"/>
        <w:tabs>
          <w:tab w:leader="none" w:pos="824" w:val="left"/>
        </w:tabs>
        <w:numPr>
          <w:ilvl w:val="1"/>
          <w:numId w:val="168"/>
        </w:numPr>
        <w:rPr>
          <w:rFonts w:ascii="Arial" w:cs="Arial" w:eastAsia="Arial" w:hAnsi="Arial"/>
          <w:sz w:val="17"/>
          <w:szCs w:val="17"/>
          <w:color w:val="auto"/>
        </w:rPr>
      </w:pPr>
      <w:r>
        <w:rPr>
          <w:rFonts w:ascii="Arial" w:cs="Arial" w:eastAsia="Arial" w:hAnsi="Arial"/>
          <w:sz w:val="17"/>
          <w:szCs w:val="17"/>
          <w:color w:val="auto"/>
        </w:rPr>
        <w:t>Guaranty Obligations with respect to Indebtedness permitted pursuant to subsections (a) through (d), (g), (j) and (k) of this Section;</w:t>
      </w:r>
    </w:p>
    <w:p>
      <w:pPr>
        <w:spacing w:after="0" w:line="236" w:lineRule="exact"/>
        <w:rPr>
          <w:rFonts w:ascii="Arial" w:cs="Arial" w:eastAsia="Arial" w:hAnsi="Arial"/>
          <w:sz w:val="17"/>
          <w:szCs w:val="17"/>
          <w:color w:val="auto"/>
        </w:rPr>
      </w:pPr>
    </w:p>
    <w:p>
      <w:pPr>
        <w:ind w:left="4" w:right="340" w:firstLine="436"/>
        <w:spacing w:after="0" w:line="277" w:lineRule="auto"/>
        <w:tabs>
          <w:tab w:leader="none" w:pos="80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other similar instrument drawn against insufficient funds in the ordinary course of business;</w:t>
      </w:r>
    </w:p>
    <w:p>
      <w:pPr>
        <w:spacing w:after="0" w:line="170" w:lineRule="exact"/>
        <w:rPr>
          <w:rFonts w:ascii="Arial" w:cs="Arial" w:eastAsia="Arial" w:hAnsi="Arial"/>
          <w:sz w:val="18"/>
          <w:szCs w:val="18"/>
          <w:color w:val="auto"/>
        </w:rPr>
      </w:pPr>
    </w:p>
    <w:p>
      <w:pPr>
        <w:ind w:left="4" w:right="320" w:firstLine="436"/>
        <w:spacing w:after="0" w:line="342" w:lineRule="auto"/>
        <w:tabs>
          <w:tab w:leader="none" w:pos="83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123" w:lineRule="exact"/>
        <w:rPr>
          <w:rFonts w:ascii="Arial" w:cs="Arial" w:eastAsia="Arial" w:hAnsi="Arial"/>
          <w:sz w:val="16"/>
          <w:szCs w:val="16"/>
          <w:color w:val="auto"/>
        </w:rPr>
      </w:pPr>
    </w:p>
    <w:p>
      <w:pPr>
        <w:ind w:left="4" w:firstLine="436"/>
        <w:spacing w:after="0" w:line="287" w:lineRule="auto"/>
        <w:tabs>
          <w:tab w:leader="none" w:pos="83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unsecured intercompany Indebtedness (i) owed by any US Credit Party to another US Credit Party, (ii) owed by any Canadian Credit Party to another Canadian Credit Party, (iii) owed by any US Credit Party to any Canadian Credit Party, (iv) owed by any Canadian Credit Party to any US Credit Party in an aggregate amount not to exceed at any time outstanding the greater of (x) $50,000,000 and (y) 2.0% of Consolidated Total Assets, and</w:t>
      </w:r>
    </w:p>
    <w:p>
      <w:pPr>
        <w:spacing w:after="0" w:line="2" w:lineRule="exact"/>
        <w:rPr>
          <w:rFonts w:ascii="Arial" w:cs="Arial" w:eastAsia="Arial" w:hAnsi="Arial"/>
          <w:sz w:val="16"/>
          <w:szCs w:val="16"/>
          <w:color w:val="auto"/>
        </w:rPr>
      </w:pPr>
    </w:p>
    <w:p>
      <w:pPr>
        <w:ind w:left="4" w:hanging="4"/>
        <w:spacing w:after="0" w:line="273" w:lineRule="auto"/>
        <w:tabs>
          <w:tab w:leader="none" w:pos="25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owed by or to any Non-Credit Party Subsidiary by or to any Credit Party or another Non-Credit Party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of such Indebtedness owed by a Non-Credit Party Subsidiary to a Credit Party shall not exceed at any time outstanding the greater of (x) $50,000,000 and (y) 2.0% of Consolidated Total Assets,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Indebtedness owed by a Credit Party to a Non-Credit Party Subsidiary shall be subordinated to the Obligations on terms reasonably satisfactory to the Administrative Agent;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4"/>
          </w:cols>
          <w:pgMar w:left="436" w:top="274" w:right="459" w:bottom="1440" w:gutter="0" w:footer="0" w:header="0"/>
        </w:sectPr>
      </w:pPr>
    </w:p>
    <w:bookmarkStart w:id="131" w:name="page132"/>
    <w:bookmarkEnd w:id="131"/>
    <w:p>
      <w:pPr>
        <w:ind w:firstLine="436"/>
        <w:spacing w:after="0" w:line="291" w:lineRule="auto"/>
        <w:tabs>
          <w:tab w:leader="none" w:pos="790"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of a Person existing at the time such Person became a Subsidiary or assets were acquired from such Person in connection with an Investment permitted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the extent that (i) such Indebtedness was not incurred in connection with, or in contemplation of, such Person becoming a Subsidiary or the acquisition of such assets, (ii) neither Centuri nor any Subsidiary thereof (other than such Person or any other Person that such Person merges with or that acquires the assets of such Person) shall have any liability or other obligation with respect to such Indebtedness and (iii) Centuri is in compliance on a pro forma basis with a Consolidated Net Leverage Ratio at least 0.50 to 1.00 below the then applicable covenant level required pursuant to </w:t>
      </w:r>
      <w:r>
        <w:rPr>
          <w:rFonts w:ascii="Arial" w:cs="Arial" w:eastAsia="Arial" w:hAnsi="Arial"/>
          <w:sz w:val="16"/>
          <w:szCs w:val="16"/>
          <w:u w:val="single" w:color="auto"/>
          <w:color w:val="auto"/>
        </w:rPr>
        <w:t>Section 9.13(b)</w:t>
      </w:r>
      <w:r>
        <w:rPr>
          <w:rFonts w:ascii="Arial" w:cs="Arial" w:eastAsia="Arial" w:hAnsi="Arial"/>
          <w:sz w:val="16"/>
          <w:szCs w:val="16"/>
          <w:color w:val="auto"/>
        </w:rPr>
        <w:t xml:space="preserve">, determined as of the most recently ended four consecutive fiscal quarter period for which financial statements and the related Officer’s Compliance Certificate have been delivered pursuant to </w:t>
      </w:r>
      <w:r>
        <w:rPr>
          <w:rFonts w:ascii="Arial" w:cs="Arial" w:eastAsia="Arial" w:hAnsi="Arial"/>
          <w:sz w:val="16"/>
          <w:szCs w:val="16"/>
          <w:u w:val="single" w:color="auto"/>
          <w:color w:val="auto"/>
        </w:rPr>
        <w:t>Sections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8.2(a)</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436"/>
        <w:spacing w:after="0" w:line="269" w:lineRule="auto"/>
        <w:tabs>
          <w:tab w:leader="none" w:pos="79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unsecured Indebtedness of Centuri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each incurrence of such Indebtedness, (i) no Default or Event of Default shall have occurred and be continuing or would be caused by the incurrence of such Indebtedness, (ii) the Administrative Agent shall have received satisfactory written evidence that, after giving effect to the incurrence of such Indebtedness and the receipt and application of the proceeds thereof, Centuri is in compliance on a pro forma basis with the financial covenants set forth in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determined as of the most recently ended four consecutive fiscal quarter period for which financial statements and the related Officer’s Compliance Certificate have been delivered pursuant to </w:t>
      </w:r>
      <w:r>
        <w:rPr>
          <w:rFonts w:ascii="Arial" w:cs="Arial" w:eastAsia="Arial" w:hAnsi="Arial"/>
          <w:sz w:val="17"/>
          <w:szCs w:val="17"/>
          <w:u w:val="single" w:color="auto"/>
          <w:color w:val="auto"/>
        </w:rPr>
        <w:t>Sections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8.2(a)</w:t>
      </w:r>
      <w:r>
        <w:rPr>
          <w:rFonts w:ascii="Arial" w:cs="Arial" w:eastAsia="Arial" w:hAnsi="Arial"/>
          <w:sz w:val="17"/>
          <w:szCs w:val="17"/>
          <w:color w:val="auto"/>
        </w:rPr>
        <w:t>, (iii) such Indebtedness does not mature prior to the date that is 91 days after the then latest maturity of the Commitments and Loans, (iv) the Weighted Average Life to Maturity of such Indebtedness shall not be shorter than the remaining Weighted Average Life to Maturity of the Term Loans then outstanding and (v) the terms of such Indebtedness reflect market terms (taken as a whole) at the time of issuance and (other than pricing, fees, rate floors, premiums and optional prepayment or redemption provisions (and, if applicable, subordination terms)), taken as a whole, are not materially more restrictive (as determined by Centuri in good faith) on Centuri and its Subsidiaries than the terms and conditions of this Agreement, taken as a whole, other than covenants which do not have effect until after the then latest maturity date of the Commitments and Loans;</w:t>
      </w:r>
    </w:p>
    <w:p>
      <w:pPr>
        <w:spacing w:after="0" w:line="178" w:lineRule="exact"/>
        <w:rPr>
          <w:rFonts w:ascii="Arial" w:cs="Arial" w:eastAsia="Arial" w:hAnsi="Arial"/>
          <w:sz w:val="17"/>
          <w:szCs w:val="17"/>
          <w:color w:val="auto"/>
        </w:rPr>
      </w:pPr>
    </w:p>
    <w:p>
      <w:pPr>
        <w:ind w:right="640" w:firstLine="436"/>
        <w:spacing w:after="0" w:line="277" w:lineRule="auto"/>
        <w:tabs>
          <w:tab w:leader="none" w:pos="8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Attributable Indebtedness incurred pursuant to Permitted Receivables Transactions in an aggregate amount not to exceed at any time outstanding the greater of (i) $150,000,000 and (ii) 6.0% of Consolidated Total Assets;</w:t>
      </w:r>
    </w:p>
    <w:p>
      <w:pPr>
        <w:spacing w:after="0" w:line="170" w:lineRule="exact"/>
        <w:rPr>
          <w:rFonts w:ascii="Arial" w:cs="Arial" w:eastAsia="Arial" w:hAnsi="Arial"/>
          <w:sz w:val="18"/>
          <w:szCs w:val="18"/>
          <w:color w:val="auto"/>
        </w:rPr>
      </w:pPr>
    </w:p>
    <w:p>
      <w:pPr>
        <w:ind w:right="260" w:firstLine="436"/>
        <w:spacing w:after="0" w:line="308" w:lineRule="auto"/>
        <w:tabs>
          <w:tab w:leader="none" w:pos="79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other Indebtedness of any Credit Party or any Subsidiary thereof not otherwise permitted pursuant to this Section in an aggregate principal amount not to exceed at any time outstanding the greater of (i) $100,000,000 and (ii) 4.0% of Consolidated Total Assets; and</w:t>
      </w:r>
    </w:p>
    <w:p>
      <w:pPr>
        <w:spacing w:after="0" w:line="146" w:lineRule="exact"/>
        <w:rPr>
          <w:rFonts w:ascii="Arial" w:cs="Arial" w:eastAsia="Arial" w:hAnsi="Arial"/>
          <w:sz w:val="17"/>
          <w:szCs w:val="17"/>
          <w:color w:val="auto"/>
        </w:rPr>
      </w:pPr>
    </w:p>
    <w:p>
      <w:pPr>
        <w:ind w:right="120" w:firstLine="436"/>
        <w:spacing w:after="0" w:line="259" w:lineRule="auto"/>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Indebtedness of the Credit Parties in respect of one or more series of senior secured first lien notes that are issued in a public offering, Rule 144A or other private placement under the Securities Act, or a bridge financing in lieu of the foregoing that otherwise converts into permanent Incremental Equivalent Indebtedness (as defined below), that are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issued by the Credit Parties in lieu of Incremental Term Loans (“</w:t>
      </w:r>
      <w:r>
        <w:rPr>
          <w:rFonts w:ascii="Arial" w:cs="Arial" w:eastAsia="Arial" w:hAnsi="Arial"/>
          <w:sz w:val="18"/>
          <w:szCs w:val="18"/>
          <w:u w:val="single" w:color="auto"/>
          <w:color w:val="auto"/>
        </w:rPr>
        <w:t>Incremental Equivalent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8" w:lineRule="exact"/>
        <w:rPr>
          <w:rFonts w:ascii="Arial" w:cs="Arial" w:eastAsia="Arial" w:hAnsi="Arial"/>
          <w:sz w:val="18"/>
          <w:szCs w:val="18"/>
          <w:color w:val="auto"/>
        </w:rPr>
      </w:pPr>
    </w:p>
    <w:p>
      <w:pPr>
        <w:ind w:left="440" w:right="400" w:firstLine="419"/>
        <w:spacing w:after="0" w:line="308" w:lineRule="auto"/>
        <w:tabs>
          <w:tab w:leader="none" w:pos="1213"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such Indebtedness incurred under this clause (m) shall not, together with the aggregate principal amount of all Incremental Increases incurred pursuant to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exceed the amount set forth in </w:t>
      </w:r>
      <w:r>
        <w:rPr>
          <w:rFonts w:ascii="Arial" w:cs="Arial" w:eastAsia="Arial" w:hAnsi="Arial"/>
          <w:sz w:val="17"/>
          <w:szCs w:val="17"/>
          <w:u w:val="single" w:color="auto"/>
          <w:color w:val="auto"/>
        </w:rPr>
        <w:t>Section 5.13(a)</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40" w:right="20" w:firstLine="419"/>
        <w:spacing w:after="0" w:line="263" w:lineRule="auto"/>
        <w:tabs>
          <w:tab w:leader="none" w:pos="126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in the case of any Incremental Equivalent Indebtedness incurred to finance a substantially concurrent Limited Condition Acquisition, immediately after giving effect to the incurrence of such Indebtedness and the use of proceeds thereof, no Default or Event of Default shall have occurred and be continuing or would result therefrom;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32" w:name="page133"/>
    <w:bookmarkEnd w:id="132"/>
    <w:p>
      <w:pPr>
        <w:ind w:left="4" w:right="60" w:firstLine="419"/>
        <w:spacing w:after="0" w:line="283" w:lineRule="auto"/>
        <w:tabs>
          <w:tab w:leader="none" w:pos="876" w:val="left"/>
        </w:tabs>
        <w:numPr>
          <w:ilvl w:val="1"/>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stated maturity date of such Indebtedness shall be no earlier than, and the terms of such Indebtedness shall not provide for any scheduled payment, mandatory repayment or redemption or sinking fund or similar obligations at any time prior to the latest maturity date of the Loans and Commitments in effect at the time of such incurrence;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may have scheduled payments, mandatory repayments or redemptions or similar obligations prior to its stated maturity so long as (x) such Indebtedness does not have a shorter Weighted Average Life to Maturity than the remaining Weighted Average Life to Maturity of any Class of Term Loans then outstanding at the time of incurrence, (y) any mandatory prepayment (other than scheduled amortization payments which shall be determined by the applicable Borrower and the lenders of such Indebtedness) of such Indebtedness shall be made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with all then existing Term Loans, except that the applicable Borrower and the lenders of such Indebtedness may, in their sole discretion, elect to prepay or receive, as applicable, any prepayments on a less than pro rata basis (but not on a greater than pro rata basis) and (z) such mandatory repayments or redemptions or similar obligations are no more restrictive on the applicable Borrower or its Subsidiaries than the provisions of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restrictions of this clause</w:t>
      </w:r>
    </w:p>
    <w:p>
      <w:pPr>
        <w:spacing w:after="0" w:line="4" w:lineRule="exact"/>
        <w:rPr>
          <w:rFonts w:ascii="Arial" w:cs="Arial" w:eastAsia="Arial" w:hAnsi="Arial"/>
          <w:sz w:val="16"/>
          <w:szCs w:val="16"/>
          <w:color w:val="auto"/>
        </w:rPr>
      </w:pPr>
    </w:p>
    <w:p>
      <w:pPr>
        <w:jc w:val="both"/>
        <w:ind w:left="4" w:right="500" w:hanging="4"/>
        <w:spacing w:after="0" w:line="273" w:lineRule="auto"/>
        <w:tabs>
          <w:tab w:leader="none" w:pos="31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shall not apply to the extent such Indebtedness constitutes a customary bridge or similar facility that is to be automatically converted or exchanged into notes or other permitted Indebtedness that otherwise would satisfy this clause (iii) so long as such conversion or exchange is subject only to conditions customary for similar conversions and exchanges and the applicable Credit Party irrevocably agrees at the time of incurrence thereof to take all actions necessary to convert or exchange such Indebtedness);</w:t>
      </w:r>
    </w:p>
    <w:p>
      <w:pPr>
        <w:spacing w:after="0" w:line="68" w:lineRule="exact"/>
        <w:rPr>
          <w:rFonts w:ascii="Arial" w:cs="Arial" w:eastAsia="Arial" w:hAnsi="Arial"/>
          <w:sz w:val="17"/>
          <w:szCs w:val="17"/>
          <w:color w:val="auto"/>
        </w:rPr>
      </w:pPr>
    </w:p>
    <w:p>
      <w:pPr>
        <w:ind w:left="4" w:firstLine="419"/>
        <w:spacing w:after="0" w:line="342" w:lineRule="auto"/>
        <w:tabs>
          <w:tab w:leader="none" w:pos="866" w:val="left"/>
        </w:tabs>
        <w:numPr>
          <w:ilvl w:val="1"/>
          <w:numId w:val="172"/>
        </w:numPr>
        <w:rPr>
          <w:rFonts w:ascii="Arial" w:cs="Arial" w:eastAsia="Arial" w:hAnsi="Arial"/>
          <w:sz w:val="16"/>
          <w:szCs w:val="16"/>
          <w:color w:val="auto"/>
        </w:rPr>
      </w:pPr>
      <w:r>
        <w:rPr>
          <w:rFonts w:ascii="Arial" w:cs="Arial" w:eastAsia="Arial" w:hAnsi="Arial"/>
          <w:sz w:val="16"/>
          <w:szCs w:val="16"/>
          <w:color w:val="auto"/>
        </w:rPr>
        <w:t>such Indebtedness shall have pricing (including interest rates, fees and premiums), amortization (subject to clause (iii) above), optional prepayment and redemption terms as may be agreed to by the applicable Borrower and the lenders or holders of such Indebtedness;</w:t>
      </w:r>
    </w:p>
    <w:p>
      <w:pPr>
        <w:spacing w:after="0" w:line="15" w:lineRule="exact"/>
        <w:rPr>
          <w:rFonts w:ascii="Arial" w:cs="Arial" w:eastAsia="Arial" w:hAnsi="Arial"/>
          <w:sz w:val="16"/>
          <w:szCs w:val="16"/>
          <w:color w:val="auto"/>
        </w:rPr>
      </w:pPr>
    </w:p>
    <w:p>
      <w:pPr>
        <w:ind w:left="804" w:hanging="381"/>
        <w:spacing w:after="0"/>
        <w:tabs>
          <w:tab w:leader="none" w:pos="80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such Indebtedness is not recourse to or guaranteed by any Subsidiary that is not a Credit Party;</w:t>
      </w:r>
    </w:p>
    <w:p>
      <w:pPr>
        <w:spacing w:after="0" w:line="117" w:lineRule="exact"/>
        <w:rPr>
          <w:rFonts w:ascii="Arial" w:cs="Arial" w:eastAsia="Arial" w:hAnsi="Arial"/>
          <w:sz w:val="18"/>
          <w:szCs w:val="18"/>
          <w:color w:val="auto"/>
        </w:rPr>
      </w:pPr>
    </w:p>
    <w:p>
      <w:pPr>
        <w:jc w:val="both"/>
        <w:ind w:left="4" w:right="180" w:firstLine="419"/>
        <w:spacing w:after="0" w:line="259" w:lineRule="auto"/>
        <w:tabs>
          <w:tab w:leader="none" w:pos="86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(x) the obligations in respect thereof shall not be secured by any Lien on any asset of any Borrower or any Subsidiary other than any asset constituting Collateral, (y) the security agreements relating to such Indebtedness shall be substantially the same as the Security Documents (with such differences as are reasonably satisfactory to the Administrative Agent) and (z) such Indebtedness shall be subject to an Acceptable Intercreditor Agreement;</w:t>
      </w:r>
    </w:p>
    <w:p>
      <w:pPr>
        <w:spacing w:after="0" w:line="78" w:lineRule="exact"/>
        <w:rPr>
          <w:rFonts w:ascii="Arial" w:cs="Arial" w:eastAsia="Arial" w:hAnsi="Arial"/>
          <w:sz w:val="18"/>
          <w:szCs w:val="18"/>
          <w:color w:val="auto"/>
        </w:rPr>
      </w:pPr>
    </w:p>
    <w:p>
      <w:pPr>
        <w:ind w:left="4" w:right="40" w:firstLine="419"/>
        <w:spacing w:after="0" w:line="269" w:lineRule="auto"/>
        <w:tabs>
          <w:tab w:leader="none" w:pos="916" w:val="left"/>
        </w:tabs>
        <w:numPr>
          <w:ilvl w:val="1"/>
          <w:numId w:val="172"/>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clause (m), the terms, covenants and conditions with respect to such Indebtedness, when taken as a whole, shall not be materially more restrictive on the applicable Borrower and its Subsidiaries than the terms and conditions of this Agreement, taken as a whole (except for (x) terms, covenants and conditions with respect to such Indebtedness that are applicable only to the periods after the latest maturity date of the Loans and Commitments in effect at the time of incurrence or assumption of such Indebtedness and (y) any materially more restrictive terms added for the benefit of any such Indebtedness, if such materially more restrictive terms are also added for the benefit of the Lenders hereunder with respect to any Term Loans or Term Loan Commitments remaining outstanding after giving effect to the incurrence or assumption of such Indebtedness and the application of the proceeds thereof) and such Indebtedness shall not include any financial maintenance covenants;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 Responsible Officer of the applicable Borrower delivered to the Administrative Agent prior to the incurrence or assumption of such Indebtedness, together with a reasonably detailed description of the material terms and conditions of such Indebtedness or substantially final drafts of the documentation related thereto, stating that the applicable Borrower has determined in good faith that such terms and conditions satisfy the foregoing requirement shall be conclusive evidence that such terms and conditions satisfy the foregoing requirement;</w:t>
      </w:r>
    </w:p>
    <w:p>
      <w:pPr>
        <w:spacing w:after="0" w:line="111"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584"/>
          </w:cols>
          <w:pgMar w:left="876" w:top="274" w:right="439" w:bottom="1440" w:gutter="0" w:footer="0" w:header="0"/>
        </w:sectPr>
      </w:pPr>
    </w:p>
    <w:bookmarkStart w:id="133" w:name="page134"/>
    <w:bookmarkEnd w:id="133"/>
    <w:p>
      <w:pPr>
        <w:ind w:left="440" w:right="100" w:firstLine="419"/>
        <w:spacing w:after="0" w:line="257" w:lineRule="auto"/>
        <w:tabs>
          <w:tab w:leader="none" w:pos="14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in the case of any such Indebtedness incurred to finance a substantially concurrent Limited Condition Acquisition, the Administrative Agent shall have received from Centuri, an Officer’s Compliance Certificate demonstrating that the Consolidated Companies are in pro forma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(based on the financial statements most recently delivered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after giving effect to such Indebtedness (assuming that the entire amount is fully funded on the effective date thereof) and the use of proceeds thereof; and</w:t>
      </w:r>
    </w:p>
    <w:p>
      <w:pPr>
        <w:spacing w:after="0" w:line="80" w:lineRule="exact"/>
        <w:rPr>
          <w:sz w:val="20"/>
          <w:szCs w:val="20"/>
          <w:color w:val="auto"/>
        </w:rPr>
      </w:pPr>
    </w:p>
    <w:p>
      <w:pPr>
        <w:ind w:left="440" w:firstLine="419"/>
        <w:spacing w:after="0" w:line="342" w:lineRule="auto"/>
        <w:tabs>
          <w:tab w:leader="none" w:pos="121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prior to the incurrence of such Indebtedness, the applicable Borrower shall have delivered to the Administrative Agent a certificate from a Responsible Officer of such Borrower certifying as to compliance with the requirements of the preceding clauses (i) through (viii) above.</w:t>
      </w:r>
    </w:p>
    <w:p>
      <w:pPr>
        <w:spacing w:after="0" w:line="12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on or with respect to any of its Property, whether now owned or hereafter acquired, except:</w:t>
      </w:r>
    </w:p>
    <w:p>
      <w:pPr>
        <w:spacing w:after="0" w:line="170" w:lineRule="exact"/>
        <w:rPr>
          <w:sz w:val="20"/>
          <w:szCs w:val="20"/>
          <w:color w:val="auto"/>
        </w:rPr>
      </w:pPr>
    </w:p>
    <w:p>
      <w:pPr>
        <w:ind w:right="380" w:firstLine="436"/>
        <w:spacing w:after="0" w:line="277" w:lineRule="auto"/>
        <w:tabs>
          <w:tab w:leader="none" w:pos="8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Liens created pursuant to the Loan Documents (including, without limitation, Liens in favor of the Swingline Lenders and/or the Issuing Lenders, as applicable, on Cash Collateral granted pursuant to the Loan Documents);</w:t>
      </w:r>
    </w:p>
    <w:p>
      <w:pPr>
        <w:spacing w:after="0" w:line="170" w:lineRule="exact"/>
        <w:rPr>
          <w:rFonts w:ascii="Arial" w:cs="Arial" w:eastAsia="Arial" w:hAnsi="Arial"/>
          <w:sz w:val="18"/>
          <w:szCs w:val="18"/>
          <w:color w:val="auto"/>
        </w:rPr>
      </w:pPr>
    </w:p>
    <w:p>
      <w:pPr>
        <w:ind w:right="240" w:firstLine="436"/>
        <w:spacing w:after="0" w:line="257" w:lineRule="auto"/>
        <w:tabs>
          <w:tab w:leader="none" w:pos="8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described on </w:t>
      </w:r>
      <w:r>
        <w:rPr>
          <w:rFonts w:ascii="Arial" w:cs="Arial" w:eastAsia="Arial" w:hAnsi="Arial"/>
          <w:sz w:val="18"/>
          <w:szCs w:val="18"/>
          <w:u w:val="single" w:color="auto"/>
          <w:color w:val="auto"/>
        </w:rPr>
        <w:t>Schedule 9.2</w:t>
      </w:r>
      <w:r>
        <w:rPr>
          <w:rFonts w:ascii="Arial" w:cs="Arial" w:eastAsia="Arial" w:hAnsi="Arial"/>
          <w:sz w:val="18"/>
          <w:szCs w:val="18"/>
          <w:color w:val="auto"/>
        </w:rPr>
        <w:t xml:space="preserve">, and the replacement, renewal or extension thereof (including Liens incurred in connection with any refinancing, refunding, renewal or extension of Indebtedness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(solely to the extent that such Liens were in existence on the Closing Date and described on </w:t>
      </w:r>
      <w:r>
        <w:rPr>
          <w:rFonts w:ascii="Arial" w:cs="Arial" w:eastAsia="Arial" w:hAnsi="Arial"/>
          <w:sz w:val="18"/>
          <w:szCs w:val="18"/>
          <w:u w:val="single" w:color="auto"/>
          <w:color w:val="auto"/>
        </w:rPr>
        <w:t>Schedule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scope of any such Lien shall not be increased, or otherwise expanded, to cover any additional property or type of asset, as applicable, beyond that in existence on the Closing Date, except for products and proceeds of the foregoing;</w:t>
      </w:r>
    </w:p>
    <w:p>
      <w:pPr>
        <w:spacing w:after="0" w:line="187" w:lineRule="exact"/>
        <w:rPr>
          <w:rFonts w:ascii="Arial" w:cs="Arial" w:eastAsia="Arial" w:hAnsi="Arial"/>
          <w:sz w:val="18"/>
          <w:szCs w:val="18"/>
          <w:color w:val="auto"/>
        </w:rPr>
      </w:pPr>
    </w:p>
    <w:p>
      <w:pPr>
        <w:ind w:right="160" w:firstLine="436"/>
        <w:spacing w:after="0" w:line="259" w:lineRule="auto"/>
        <w:tabs>
          <w:tab w:leader="none" w:pos="8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Liens for taxes, assessments and other governmental charges or levies (excluding any Lien imposed pursuant to any of the provisions of ERISA, any Canadian Pension Laws or Environmental Laws) (i) not past due or as to which the period of grace (not to exceed thirty (30) days), if any, related thereto has not expired or (ii) which are being contested in good faith and by appropriate proceedings if adequate reserves are maintained to the extent required by GAAP;</w:t>
      </w:r>
    </w:p>
    <w:p>
      <w:pPr>
        <w:spacing w:after="0" w:line="186" w:lineRule="exact"/>
        <w:rPr>
          <w:rFonts w:ascii="Arial" w:cs="Arial" w:eastAsia="Arial" w:hAnsi="Arial"/>
          <w:sz w:val="18"/>
          <w:szCs w:val="18"/>
          <w:color w:val="auto"/>
        </w:rPr>
      </w:pPr>
    </w:p>
    <w:p>
      <w:pPr>
        <w:ind w:firstLine="436"/>
        <w:spacing w:after="0" w:line="257" w:lineRule="auto"/>
        <w:tabs>
          <w:tab w:leader="none" w:pos="8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claims of materialmen, mechanics, carriers, warehousemen, processors or landlords for labor, materials, supplies or rentals incurred in the ordinary course of business, which (i) are not overdue for a period of more than thirty (30) days, or if more than thirty (30) days overdue, no action has been taken to enforce such Liens and such Liens are being contested in good faith and by appropriate proceedings if adequate reserves are maintained to the extent required by GAAP and (ii) do not, individually or in the aggregate, materially impair the use thereof in the operation of the business of the Consolidated Companies taken as a whole;</w:t>
      </w:r>
    </w:p>
    <w:p>
      <w:pPr>
        <w:spacing w:after="0" w:line="187" w:lineRule="exact"/>
        <w:rPr>
          <w:rFonts w:ascii="Arial" w:cs="Arial" w:eastAsia="Arial" w:hAnsi="Arial"/>
          <w:sz w:val="18"/>
          <w:szCs w:val="18"/>
          <w:color w:val="auto"/>
        </w:rPr>
      </w:pPr>
    </w:p>
    <w:p>
      <w:pPr>
        <w:ind w:right="260" w:firstLine="436"/>
        <w:spacing w:after="0" w:line="273" w:lineRule="auto"/>
        <w:tabs>
          <w:tab w:leader="none" w:pos="8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deposits or pledges made in the ordinary course of business in connection with, or to secure payment of, obligations under workers’ compensation, unemployment or employment insurance and other types of social security or similar legislation (other than Liens imposed pursuant to any of the provisions of ERISA or any Canadian Pension Laws), or to secure the performance of bids, trade contracts and leases (other than Indebtedness) or subleases, statutory obligations, surety bonds (other than bonds related to judgments or litigation), performance bonds and other obligations of a like nature incurred in the ordinary course of business, in each case, so long as no foreclosure sale or similar proceeding has been commenced with respect to any portion of the Collateral on account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20"/>
          </w:cols>
          <w:pgMar w:left="440" w:top="274" w:right="439" w:bottom="1440" w:gutter="0" w:footer="0" w:header="0"/>
        </w:sectPr>
      </w:pPr>
    </w:p>
    <w:bookmarkStart w:id="134" w:name="page135"/>
    <w:bookmarkEnd w:id="134"/>
    <w:p>
      <w:pPr>
        <w:ind w:left="-20" w:right="180" w:firstLine="436"/>
        <w:spacing w:after="0" w:line="263" w:lineRule="auto"/>
        <w:tabs>
          <w:tab w:leader="none" w:pos="7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encumbrances in the nature of zoning restrictions, easements and rights or restrictions of record on the use of real property, which in the aggregate are not substantial in amount and which do not, in any case, detract from the value of such property or impair the use thereof in the ordinary conduct of business;</w:t>
      </w:r>
    </w:p>
    <w:p>
      <w:pPr>
        <w:spacing w:after="0" w:line="183" w:lineRule="exact"/>
        <w:rPr>
          <w:rFonts w:ascii="Arial" w:cs="Arial" w:eastAsia="Arial" w:hAnsi="Arial"/>
          <w:sz w:val="18"/>
          <w:szCs w:val="18"/>
          <w:color w:val="auto"/>
        </w:rPr>
      </w:pPr>
    </w:p>
    <w:p>
      <w:pPr>
        <w:ind w:left="-20" w:right="340" w:firstLine="436"/>
        <w:spacing w:after="0" w:line="277" w:lineRule="auto"/>
        <w:tabs>
          <w:tab w:leader="none" w:pos="81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arising from the filing of precautionary UCC financing statements relating solely to personal property leased pursuant to operating leases entered into in the ordinary course of business of the Consolidated Companies;</w:t>
      </w:r>
    </w:p>
    <w:p>
      <w:pPr>
        <w:spacing w:after="0" w:line="170" w:lineRule="exact"/>
        <w:rPr>
          <w:rFonts w:ascii="Arial" w:cs="Arial" w:eastAsia="Arial" w:hAnsi="Arial"/>
          <w:sz w:val="18"/>
          <w:szCs w:val="18"/>
          <w:color w:val="auto"/>
        </w:rPr>
      </w:pPr>
    </w:p>
    <w:p>
      <w:pPr>
        <w:ind w:left="-20" w:right="80" w:firstLine="436"/>
        <w:spacing w:after="0" w:line="255" w:lineRule="auto"/>
        <w:tabs>
          <w:tab w:leader="none" w:pos="81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shall be created concurrently with or within twenty four (24) months of the acquisition, repair, improvement or lease, as applicable, of the related Property, (ii) such Liens do not at any time encumber any property other than the Property financed by such Indebtedness and the proceeds thereof, (iii) the amount of Indebtedness secured thereby is not increased and (iv) the principal amount of Indebtedness secured by any such Lien shall at no time exceed one hundred percent (100%) of the original price for the purchase, repair improvement or lease amount (as applicable) of such Property at the time of purchase, repair, improvement or lease (as applicable);</w:t>
      </w:r>
    </w:p>
    <w:p>
      <w:pPr>
        <w:spacing w:after="0" w:line="192" w:lineRule="exact"/>
        <w:rPr>
          <w:rFonts w:ascii="Arial" w:cs="Arial" w:eastAsia="Arial" w:hAnsi="Arial"/>
          <w:sz w:val="18"/>
          <w:szCs w:val="18"/>
          <w:color w:val="auto"/>
        </w:rPr>
      </w:pPr>
    </w:p>
    <w:p>
      <w:pPr>
        <w:ind w:left="-20" w:right="200" w:firstLine="436"/>
        <w:spacing w:after="0" w:line="277" w:lineRule="auto"/>
        <w:tabs>
          <w:tab w:leader="none" w:pos="77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10.1(m)</w:t>
      </w:r>
      <w:r>
        <w:rPr>
          <w:rFonts w:ascii="Arial" w:cs="Arial" w:eastAsia="Arial" w:hAnsi="Arial"/>
          <w:sz w:val="18"/>
          <w:szCs w:val="18"/>
          <w:color w:val="auto"/>
        </w:rPr>
        <w:t xml:space="preserve"> or securing appeal or other surety bonds relating to such judgments;</w:t>
      </w:r>
    </w:p>
    <w:p>
      <w:pPr>
        <w:spacing w:after="0" w:line="170" w:lineRule="exact"/>
        <w:rPr>
          <w:rFonts w:ascii="Arial" w:cs="Arial" w:eastAsia="Arial" w:hAnsi="Arial"/>
          <w:sz w:val="18"/>
          <w:szCs w:val="18"/>
          <w:color w:val="auto"/>
        </w:rPr>
      </w:pPr>
    </w:p>
    <w:p>
      <w:pPr>
        <w:jc w:val="both"/>
        <w:ind w:left="-20" w:right="240" w:firstLine="436"/>
        <w:spacing w:after="0" w:line="263" w:lineRule="auto"/>
        <w:tabs>
          <w:tab w:leader="none" w:pos="77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Liens of a collecting bank arising in the ordinary course of business under Section 4-210 of the UCC and/or the PPSA, as applicable, in effect in the relevant jurisdiction and (ii) Liens of any depositary bank in connection with statutory, common law and contractual rights of set-off and recoupment with respect to any deposit account of any Borrower or any Subsidiary thereof;</w:t>
      </w:r>
    </w:p>
    <w:p>
      <w:pPr>
        <w:spacing w:after="0" w:line="183" w:lineRule="exact"/>
        <w:rPr>
          <w:rFonts w:ascii="Arial" w:cs="Arial" w:eastAsia="Arial" w:hAnsi="Arial"/>
          <w:sz w:val="18"/>
          <w:szCs w:val="18"/>
          <w:color w:val="auto"/>
        </w:rPr>
      </w:pPr>
    </w:p>
    <w:p>
      <w:pPr>
        <w:ind w:left="-20" w:right="80" w:firstLine="436"/>
        <w:spacing w:after="0" w:line="263" w:lineRule="auto"/>
        <w:tabs>
          <w:tab w:leader="none" w:pos="81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83" w:lineRule="exact"/>
        <w:rPr>
          <w:rFonts w:ascii="Arial" w:cs="Arial" w:eastAsia="Arial" w:hAnsi="Arial"/>
          <w:sz w:val="18"/>
          <w:szCs w:val="18"/>
          <w:color w:val="auto"/>
        </w:rPr>
      </w:pPr>
    </w:p>
    <w:p>
      <w:pPr>
        <w:ind w:left="-20" w:firstLine="436"/>
        <w:spacing w:after="0" w:line="293" w:lineRule="auto"/>
        <w:tabs>
          <w:tab w:leader="none" w:pos="77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Liens on Property (i) of any Subsidiary which are in existence at the time that such Subsidiary is acquired pursuant to a Permitted Acquisition and (ii) of Centuri or any of its Subsidiaries existing at the time such tangible property or tangible assets are purchased or otherwise acquired by Centuri or such Subsidiary thereof pursuant to a transaction permitted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of the foregoing clauses (i) and (ii), (A) such Liens are not incurred in connection with, or in anticipation of, such Permitted Acquisition, purchase or other acquisition, (B) such Liens are applicable only to specific Property, (C) such Liens are not “blanket” or all asset Liens, (D) such Liens do not attach to any other Property of Centuri or any of its Subsidiaries and (E) the Indebtedness secured by such Liens is permitted under </w:t>
      </w:r>
      <w:r>
        <w:rPr>
          <w:rFonts w:ascii="Arial" w:cs="Arial" w:eastAsia="Arial" w:hAnsi="Arial"/>
          <w:sz w:val="16"/>
          <w:szCs w:val="16"/>
          <w:u w:val="single" w:color="auto"/>
          <w:color w:val="auto"/>
        </w:rPr>
        <w:t>Section 9.1(i)</w:t>
      </w:r>
      <w:r>
        <w:rPr>
          <w:rFonts w:ascii="Arial" w:cs="Arial" w:eastAsia="Arial" w:hAnsi="Arial"/>
          <w:sz w:val="16"/>
          <w:szCs w:val="16"/>
          <w:color w:val="auto"/>
        </w:rPr>
        <w:t xml:space="preserve"> of this Agreement);</w:t>
      </w:r>
    </w:p>
    <w:p>
      <w:pPr>
        <w:spacing w:after="0" w:line="164" w:lineRule="exact"/>
        <w:rPr>
          <w:rFonts w:ascii="Arial" w:cs="Arial" w:eastAsia="Arial" w:hAnsi="Arial"/>
          <w:sz w:val="16"/>
          <w:szCs w:val="16"/>
          <w:color w:val="auto"/>
        </w:rPr>
      </w:pPr>
    </w:p>
    <w:p>
      <w:pPr>
        <w:jc w:val="both"/>
        <w:ind w:left="-20" w:right="20" w:firstLine="436"/>
        <w:spacing w:after="0" w:line="311" w:lineRule="auto"/>
        <w:tabs>
          <w:tab w:leader="none" w:pos="8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interest or title of a licensor, sublicensor, lessor or sublessor with respect to any assets under any license or lease agreement entered into in the ordinary course of business which do not (i) interfere in any material respect with the business of the Consolidated Companies taken as a whole or materially detract from the value of the relevant assets of the Consolidated Companies taken as a whole or (ii) secure any Indebtedness;</w:t>
      </w:r>
    </w:p>
    <w:p>
      <w:pPr>
        <w:spacing w:after="0" w:line="148" w:lineRule="exact"/>
        <w:rPr>
          <w:rFonts w:ascii="Arial" w:cs="Arial" w:eastAsia="Arial" w:hAnsi="Arial"/>
          <w:sz w:val="16"/>
          <w:szCs w:val="16"/>
          <w:color w:val="auto"/>
        </w:rPr>
      </w:pPr>
    </w:p>
    <w:p>
      <w:pPr>
        <w:ind w:left="-20" w:right="720" w:firstLine="436"/>
        <w:spacing w:after="0" w:line="308" w:lineRule="auto"/>
        <w:tabs>
          <w:tab w:leader="none" w:pos="81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Liens on Receivables Assets that have been transferred to a Person other than Centuri and its Subsidiaries (other than a Receivables Subsidiary) in connection with such Permitted Receivables Transaction securing Permitted Receivables Transactions;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0"/>
          </w:cols>
          <w:pgMar w:left="460" w:top="274" w:right="459" w:bottom="1440" w:gutter="0" w:footer="0" w:header="0"/>
        </w:sectPr>
      </w:pPr>
    </w:p>
    <w:bookmarkStart w:id="135" w:name="page136"/>
    <w:bookmarkEnd w:id="135"/>
    <w:p>
      <w:pPr>
        <w:ind w:right="180" w:firstLine="436"/>
        <w:spacing w:after="0" w:line="277" w:lineRule="auto"/>
        <w:tabs>
          <w:tab w:leader="none" w:pos="830"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not otherwise permitted hereunder securing Indebtedness or other obligations in the aggregate principal amount not to exceed at any time outstanding the greater of (i) $100,000,000 and (ii) 4.0% of Consolidated Total Assets; and</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on Collateral securing Incremental Equivalent Indebtedness.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Notwithstanding the foregoing, in no event shall this Section permit any consensual Liens on real property except pursuant to clauses (a), (b), (c), (d), (f), (h), (k), (l) and (p) above.</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Investments</w:t>
      </w:r>
      <w:r>
        <w:rPr>
          <w:rFonts w:ascii="Arial" w:cs="Arial" w:eastAsia="Arial" w:hAnsi="Arial"/>
          <w:sz w:val="18"/>
          <w:szCs w:val="18"/>
          <w:color w:val="auto"/>
        </w:rPr>
        <w:t>. Purchase, invest in or otherwise acquire (in one transaction or a series of transactions), directly or indirectly, any Equity Interests, interests in any partnership or joint venture (including, without limitation, the creation or capitalization of any Subsidiary), evidence of Indebtedness or other obligation or security, substantially all or a portion of the business or assets of any other Person or any other investment or interest whatsoever in any other Person, or make, directly or indirectly, any loans, advances or extensions of credit to, or any investment in cash or by delivery of Property in, any Person (all the foregoing, “</w:t>
      </w:r>
      <w:r>
        <w:rPr>
          <w:rFonts w:ascii="Arial" w:cs="Arial" w:eastAsia="Arial" w:hAnsi="Arial"/>
          <w:sz w:val="18"/>
          <w:szCs w:val="18"/>
          <w:u w:val="single" w:color="auto"/>
          <w:color w:val="auto"/>
        </w:rPr>
        <w:t>Investments</w:t>
      </w:r>
      <w:r>
        <w:rPr>
          <w:rFonts w:ascii="Arial" w:cs="Arial" w:eastAsia="Arial" w:hAnsi="Arial"/>
          <w:sz w:val="18"/>
          <w:szCs w:val="18"/>
          <w:color w:val="auto"/>
        </w:rPr>
        <w:t>”) except:</w:t>
      </w:r>
    </w:p>
    <w:p>
      <w:pPr>
        <w:spacing w:after="0" w:line="80" w:lineRule="exact"/>
        <w:rPr>
          <w:sz w:val="20"/>
          <w:szCs w:val="20"/>
          <w:color w:val="auto"/>
        </w:rPr>
      </w:pPr>
    </w:p>
    <w:p>
      <w:pPr>
        <w:ind w:left="820" w:hanging="384"/>
        <w:spacing w:after="0"/>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  Investments existing on the Closing Date and described on </w:t>
      </w:r>
      <w:r>
        <w:rPr>
          <w:rFonts w:ascii="Arial" w:cs="Arial" w:eastAsia="Arial" w:hAnsi="Arial"/>
          <w:sz w:val="18"/>
          <w:szCs w:val="18"/>
          <w:u w:val="single" w:color="auto"/>
          <w:color w:val="auto"/>
        </w:rPr>
        <w:t>Schedule 9.3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Investments made after the Closing Date by any US Credit Party in any other US Credit Party;</w:t>
      </w:r>
    </w:p>
    <w:p>
      <w:pPr>
        <w:spacing w:after="0" w:line="117" w:lineRule="exact"/>
        <w:rPr>
          <w:rFonts w:ascii="Arial" w:cs="Arial" w:eastAsia="Arial" w:hAnsi="Arial"/>
          <w:sz w:val="18"/>
          <w:szCs w:val="18"/>
          <w:color w:val="auto"/>
        </w:rPr>
      </w:pPr>
    </w:p>
    <w:p>
      <w:pPr>
        <w:ind w:left="1360" w:hanging="501"/>
        <w:spacing w:after="0"/>
        <w:tabs>
          <w:tab w:leader="none" w:pos="13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Investments made after the Closing Date by any Canadian Credit Party in any other Canadian Credit Party;</w:t>
      </w:r>
    </w:p>
    <w:p>
      <w:pPr>
        <w:spacing w:after="0" w:line="117" w:lineRule="exact"/>
        <w:rPr>
          <w:rFonts w:ascii="Arial" w:cs="Arial" w:eastAsia="Arial" w:hAnsi="Arial"/>
          <w:sz w:val="18"/>
          <w:szCs w:val="18"/>
          <w:color w:val="auto"/>
        </w:rPr>
      </w:pPr>
    </w:p>
    <w:p>
      <w:pPr>
        <w:ind w:left="1300" w:hanging="441"/>
        <w:spacing w:after="0"/>
        <w:tabs>
          <w:tab w:leader="none" w:pos="130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Investments made after the Closing Date by any Non-Credit Party Subsidiary in any Credit Party or any other Non-Credit Party</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102" w:lineRule="exact"/>
        <w:rPr>
          <w:rFonts w:ascii="Arial" w:cs="Arial" w:eastAsia="Arial" w:hAnsi="Arial"/>
          <w:sz w:val="17"/>
          <w:szCs w:val="17"/>
          <w:color w:val="auto"/>
        </w:rPr>
      </w:pPr>
    </w:p>
    <w:p>
      <w:pPr>
        <w:ind w:left="1240" w:hanging="381"/>
        <w:spacing w:after="0"/>
        <w:tabs>
          <w:tab w:leader="none" w:pos="12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Investments made after the Closing Date by any Canadian Credit Party in any US Credit Party;</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34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Investments made after the Closing Date by any US Credit Party in any Canadian Credit Party in an aggregate amount not to exceed at any time outstanding the greater of (x) $50,000,000 and (y) 2.0% of Consolidated Total Assets; and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35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Investments made after the Closing Date by any Credit Party in any Non-Credit Party Subsidiary in an aggregate amount at any time outstanding not to exceed the greater of (x) $50,000,000 and (y) 2.0% of Consolidated Total Assets.</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deposits made in the ordinary course of business to secure the performance of leases or other obligations as permitted by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820" w:hanging="384"/>
        <w:spacing w:after="0"/>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Hedge Agreements permitted pursuant to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436"/>
        <w:spacing w:after="0" w:line="311" w:lineRule="auto"/>
        <w:tabs>
          <w:tab w:leader="none" w:pos="8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 purchases of assets in the ordinary course of business and (ii)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440" w:top="274" w:right="499" w:bottom="1440" w:gutter="0" w:footer="0" w:header="0"/>
        </w:sectPr>
      </w:pPr>
    </w:p>
    <w:bookmarkStart w:id="136" w:name="page137"/>
    <w:bookmarkEnd w:id="136"/>
    <w:p>
      <w:pPr>
        <w:jc w:val="both"/>
        <w:ind w:left="4" w:right="100" w:firstLine="436"/>
        <w:spacing w:after="0" w:line="263" w:lineRule="auto"/>
        <w:tabs>
          <w:tab w:leader="none" w:pos="804" w:val="left"/>
        </w:tabs>
        <w:numPr>
          <w:ilvl w:val="1"/>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Investments by any Credit Party in the form of Permitted Acquisitions to the extent that any Person or Property acquired in such Acquisition becomes a part of such Credit Party or becomes (whether or not such Person is a Wholly-Owned Subsidiary) a Subsidiary Guarantor in the manner and at the time contemplated by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 w:right="100" w:firstLine="436"/>
        <w:spacing w:after="0" w:line="259" w:lineRule="auto"/>
        <w:tabs>
          <w:tab w:leader="none" w:pos="83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Investments (i) in the form of loans and advances to officers, directors and employees in the ordinary course of business (including, without limitation, loans and advances for the relocation of such Person’s residence) in an aggregate amount not to exceed at any time outstanding $10,000,000 (determined without regard to any write-downs or write-offs of such loans or advances) and (ii) in the form of loans and advances to officers, directors and employees in connection with the purchase of the Permitted Drum Equity;</w:t>
      </w:r>
    </w:p>
    <w:p>
      <w:pPr>
        <w:spacing w:after="0" w:line="186" w:lineRule="exact"/>
        <w:rPr>
          <w:rFonts w:ascii="Arial" w:cs="Arial" w:eastAsia="Arial" w:hAnsi="Arial"/>
          <w:sz w:val="18"/>
          <w:szCs w:val="18"/>
          <w:color w:val="auto"/>
        </w:rPr>
      </w:pPr>
    </w:p>
    <w:p>
      <w:pPr>
        <w:ind w:left="824" w:hanging="384"/>
        <w:spacing w:after="0"/>
        <w:tabs>
          <w:tab w:leader="none" w:pos="82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Investments in the form of intercompany Indebtedness permitted pursuant to </w:t>
      </w:r>
      <w:r>
        <w:rPr>
          <w:rFonts w:ascii="Arial" w:cs="Arial" w:eastAsia="Arial" w:hAnsi="Arial"/>
          <w:sz w:val="18"/>
          <w:szCs w:val="18"/>
          <w:u w:val="single" w:color="auto"/>
          <w:color w:val="auto"/>
        </w:rPr>
        <w:t>Section 9.1(h)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436"/>
        <w:spacing w:after="0" w:line="277" w:lineRule="auto"/>
        <w:tabs>
          <w:tab w:leader="none" w:pos="79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acquisition by a US Subsidiary Guarantor of the remaining Equity Interests of Linetec pursuant to the LLC Agreement (as defined in the Linetec Purchase Agreement);</w:t>
      </w:r>
    </w:p>
    <w:p>
      <w:pPr>
        <w:spacing w:after="0" w:line="170" w:lineRule="exact"/>
        <w:rPr>
          <w:rFonts w:ascii="Arial" w:cs="Arial" w:eastAsia="Arial" w:hAnsi="Arial"/>
          <w:sz w:val="18"/>
          <w:szCs w:val="18"/>
          <w:color w:val="auto"/>
        </w:rPr>
      </w:pPr>
    </w:p>
    <w:p>
      <w:pPr>
        <w:ind w:left="4" w:right="20" w:firstLine="436"/>
        <w:spacing w:after="0" w:line="275" w:lineRule="auto"/>
        <w:tabs>
          <w:tab w:leader="none" w:pos="794"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Investments in an amount not to exceed the Available Amount at the time such Investment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Investment, or LCA Test Date, as applicable, (i) no Default or Event of Default has occurred and is continuing or would result therefrom and (ii) after giving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effect to such Investment and any Indebtedness incurred in connection therewith, Centuri is in compliance with the financial covenants set forth in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as of the most recently ended four consecutive fiscal quarter period for which financial statements and the related Officer’s Compliance Certificate have been delivered pursuant to </w:t>
      </w:r>
      <w:r>
        <w:rPr>
          <w:rFonts w:ascii="Arial" w:cs="Arial" w:eastAsia="Arial" w:hAnsi="Arial"/>
          <w:sz w:val="17"/>
          <w:szCs w:val="17"/>
          <w:u w:val="single" w:color="auto"/>
          <w:color w:val="auto"/>
        </w:rPr>
        <w:t>Sections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8.2(a)</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824" w:hanging="384"/>
        <w:spacing w:after="0"/>
        <w:tabs>
          <w:tab w:leader="none" w:pos="82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Guaranty Obligations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84" w:hanging="344"/>
        <w:spacing w:after="0"/>
        <w:tabs>
          <w:tab w:leader="none" w:pos="78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Drum Acquisition;</w:t>
      </w:r>
    </w:p>
    <w:p>
      <w:pPr>
        <w:spacing w:after="0" w:line="225" w:lineRule="exact"/>
        <w:rPr>
          <w:rFonts w:ascii="Arial" w:cs="Arial" w:eastAsia="Arial" w:hAnsi="Arial"/>
          <w:sz w:val="18"/>
          <w:szCs w:val="18"/>
          <w:color w:val="auto"/>
        </w:rPr>
      </w:pPr>
    </w:p>
    <w:p>
      <w:pPr>
        <w:ind w:left="4" w:firstLine="436"/>
        <w:spacing w:after="0" w:line="263" w:lineRule="auto"/>
        <w:tabs>
          <w:tab w:leader="none" w:pos="88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 Investments in any Receivables Subsidiary that, in the good faith determination of Centuri, are prudent and reasonably necessary to effect or maintain any Permitted Receivables Transaction or any repurchase obligation in connection therewith and (ii) contributions or sales of Receivables Assets in connection with any Permitted Receivables Transaction;</w:t>
      </w:r>
    </w:p>
    <w:p>
      <w:pPr>
        <w:spacing w:after="0" w:line="183" w:lineRule="exact"/>
        <w:rPr>
          <w:rFonts w:ascii="Arial" w:cs="Arial" w:eastAsia="Arial" w:hAnsi="Arial"/>
          <w:sz w:val="18"/>
          <w:szCs w:val="18"/>
          <w:color w:val="auto"/>
        </w:rPr>
      </w:pPr>
    </w:p>
    <w:p>
      <w:pPr>
        <w:ind w:left="824" w:hanging="384"/>
        <w:spacing w:after="0"/>
        <w:tabs>
          <w:tab w:leader="none" w:pos="82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Investments not otherwise permitted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an aggregate amount not to exceed at any time outstanding the greater of</w:t>
      </w:r>
    </w:p>
    <w:p>
      <w:pPr>
        <w:spacing w:after="0" w:line="46" w:lineRule="exact"/>
        <w:rPr>
          <w:rFonts w:ascii="Arial" w:cs="Arial" w:eastAsia="Arial" w:hAnsi="Arial"/>
          <w:sz w:val="16"/>
          <w:szCs w:val="16"/>
          <w:color w:val="auto"/>
        </w:rPr>
      </w:pPr>
    </w:p>
    <w:p>
      <w:pPr>
        <w:ind w:left="4" w:right="40" w:hanging="4"/>
        <w:spacing w:after="0" w:line="260" w:lineRule="auto"/>
        <w:tabs>
          <w:tab w:leader="none" w:pos="21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$50,000,000 and (ii) 2.0% of Consolidated Total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before and immediately after giving pro forma effect to any such Investments, no Default or Event of Default shall have occurred and be continuing; and</w:t>
      </w:r>
    </w:p>
    <w:p>
      <w:pPr>
        <w:spacing w:after="0" w:line="185" w:lineRule="exact"/>
        <w:rPr>
          <w:rFonts w:ascii="Arial" w:cs="Arial" w:eastAsia="Arial" w:hAnsi="Arial"/>
          <w:sz w:val="18"/>
          <w:szCs w:val="18"/>
          <w:color w:val="auto"/>
        </w:rPr>
      </w:pPr>
    </w:p>
    <w:p>
      <w:pPr>
        <w:ind w:left="4" w:firstLine="436"/>
        <w:spacing w:after="0" w:line="291" w:lineRule="auto"/>
        <w:tabs>
          <w:tab w:leader="none" w:pos="83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Investments not otherwise permitted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pro forma effect to the making of any such Investment and any Indebtedness incurred in connection therewith, subject to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in connection with a Limited Condition Acquisition,</w:t>
      </w:r>
    </w:p>
    <w:p>
      <w:pPr>
        <w:ind w:left="4" w:right="80" w:hanging="4"/>
        <w:spacing w:after="0" w:line="255" w:lineRule="auto"/>
        <w:tabs>
          <w:tab w:leader="none" w:pos="21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190" w:lineRule="exact"/>
        <w:rPr>
          <w:sz w:val="20"/>
          <w:szCs w:val="20"/>
          <w:color w:val="auto"/>
        </w:rPr>
      </w:pPr>
    </w:p>
    <w:p>
      <w:pPr>
        <w:jc w:val="both"/>
        <w:ind w:left="4" w:right="140"/>
        <w:spacing w:after="0" w:line="311" w:lineRule="auto"/>
        <w:rPr>
          <w:sz w:val="20"/>
          <w:szCs w:val="20"/>
          <w:color w:val="auto"/>
        </w:rPr>
      </w:pPr>
      <w:r>
        <w:rPr>
          <w:rFonts w:ascii="Arial" w:cs="Arial" w:eastAsia="Arial" w:hAnsi="Arial"/>
          <w:sz w:val="16"/>
          <w:szCs w:val="16"/>
          <w:color w:val="auto"/>
        </w:rPr>
        <w:t xml:space="preserve">For purposes of determining the amount of any Investment outstanding for purposes of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such amount shall be deemed to be the amount of such Investment when made, purchased or acquired (without adjustment for subsequent increases or decreases in the value of such Investment)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any amount realized in respect of such Investment upon the sale, collection or return of capital (not to exceed the original amount invested).</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4"/>
          </w:cols>
          <w:pgMar w:left="436" w:top="274" w:right="459" w:bottom="1440" w:gutter="0" w:footer="0" w:header="0"/>
        </w:sectPr>
      </w:pPr>
    </w:p>
    <w:bookmarkStart w:id="137" w:name="page138"/>
    <w:bookmarkEnd w:id="137"/>
    <w:p>
      <w:pPr>
        <w:ind w:right="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9.4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Merge, amalgamate, consolidate or enter into any similar combination with, or enter into any Asset Disposition of all or substantially all of its assets (whether in a single transaction or a series of transactions) with, any other Person or liquidate, wind-up or dissolve itself (or suffer any liquidation or dissolution) (including, in each case, pursuant to statutory division), except:</w:t>
      </w:r>
    </w:p>
    <w:p>
      <w:pPr>
        <w:spacing w:after="0" w:line="165" w:lineRule="exact"/>
        <w:rPr>
          <w:sz w:val="20"/>
          <w:szCs w:val="20"/>
          <w:color w:val="auto"/>
        </w:rPr>
      </w:pPr>
    </w:p>
    <w:p>
      <w:pPr>
        <w:ind w:left="820" w:hanging="384"/>
        <w:spacing w:after="0"/>
        <w:tabs>
          <w:tab w:leader="none" w:pos="8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Subsidiary of the US Borrower may merge into the US Borrower in a transaction in which the US Borrower is the surviving Person;</w:t>
      </w:r>
    </w:p>
    <w:p>
      <w:pPr>
        <w:spacing w:after="0" w:line="236" w:lineRule="exact"/>
        <w:rPr>
          <w:rFonts w:ascii="Arial" w:cs="Arial" w:eastAsia="Arial" w:hAnsi="Arial"/>
          <w:sz w:val="17"/>
          <w:szCs w:val="17"/>
          <w:color w:val="auto"/>
        </w:rPr>
      </w:pPr>
    </w:p>
    <w:p>
      <w:pPr>
        <w:ind w:right="120" w:firstLine="436"/>
        <w:spacing w:after="0" w:line="277" w:lineRule="auto"/>
        <w:tabs>
          <w:tab w:leader="none" w:pos="83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any Subsidiary (other than a Borrower) may merge into any other Subsidiary in a transaction in which the surviving entity is a US Credit Party and (ii) any US Borrower may merge into another US Borrower;</w:t>
      </w:r>
    </w:p>
    <w:p>
      <w:pPr>
        <w:spacing w:after="0" w:line="170" w:lineRule="exact"/>
        <w:rPr>
          <w:rFonts w:ascii="Arial" w:cs="Arial" w:eastAsia="Arial" w:hAnsi="Arial"/>
          <w:sz w:val="18"/>
          <w:szCs w:val="18"/>
          <w:color w:val="auto"/>
        </w:rPr>
      </w:pPr>
    </w:p>
    <w:p>
      <w:pPr>
        <w:ind w:right="740" w:firstLine="436"/>
        <w:spacing w:after="0" w:line="277" w:lineRule="auto"/>
        <w:tabs>
          <w:tab w:leader="none" w:pos="8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Canadian Subsidiary (other than the Canadian Borrowers) may be merged, amalgamated or consolidated with or into any other Subsidiary in a transaction in which the surviving or resulting entity is a Canadian Credit Party;</w:t>
      </w:r>
    </w:p>
    <w:p>
      <w:pPr>
        <w:spacing w:after="0" w:line="170" w:lineRule="exact"/>
        <w:rPr>
          <w:rFonts w:ascii="Arial" w:cs="Arial" w:eastAsia="Arial" w:hAnsi="Arial"/>
          <w:sz w:val="18"/>
          <w:szCs w:val="18"/>
          <w:color w:val="auto"/>
        </w:rPr>
      </w:pPr>
    </w:p>
    <w:p>
      <w:pPr>
        <w:ind w:firstLine="436"/>
        <w:spacing w:after="0" w:line="311" w:lineRule="auto"/>
        <w:tabs>
          <w:tab w:leader="none" w:pos="83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Subsidiary of the US Borrower may liquidate or dissolve if the US Borrower determines in good faith that such liquidation or dissolution is in the best interests of the US Borrower and is not materially disadvantageous to the Lenders, provided that, to the extent such Subsidiary is a (A) US Credit Party, its assets are transferred to a US Credit Party, and (B) Canadian Credit Party, its assets are transferred to a Canadian Credit Party;</w:t>
      </w:r>
    </w:p>
    <w:p>
      <w:pPr>
        <w:spacing w:after="0" w:line="148" w:lineRule="exact"/>
        <w:rPr>
          <w:rFonts w:ascii="Arial" w:cs="Arial" w:eastAsia="Arial" w:hAnsi="Arial"/>
          <w:sz w:val="16"/>
          <w:szCs w:val="16"/>
          <w:color w:val="auto"/>
        </w:rPr>
      </w:pPr>
    </w:p>
    <w:p>
      <w:pPr>
        <w:ind w:right="200" w:firstLine="436"/>
        <w:spacing w:after="0" w:line="255" w:lineRule="auto"/>
        <w:tabs>
          <w:tab w:leader="none" w:pos="8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any Consolidated Company may give effect to a merger, amalgamation or consolidation the purpose of which is to effect an Investment or Asset Disposition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so long as, in the case of any such merger, amalgamation or consolidation to which a Credit Party is a party, (i) such Credit Party is the surviving Person, or (ii) if such Credit Party is not the surviving Person, the surviving Person becomes a Credit Party by executing, upon consummation of such merger, amalgamation or consolidation, such documents (including guaranties and security agreements) as are satisfactory to the Agent to render such surviving Person a Credit Party provided that if a Borrower is party to such merger, amalgamation or consolidation such Borrower shall be the surviving Person;</w:t>
      </w:r>
    </w:p>
    <w:p>
      <w:pPr>
        <w:spacing w:after="0" w:line="192" w:lineRule="exact"/>
        <w:rPr>
          <w:rFonts w:ascii="Arial" w:cs="Arial" w:eastAsia="Arial" w:hAnsi="Arial"/>
          <w:sz w:val="18"/>
          <w:szCs w:val="18"/>
          <w:color w:val="auto"/>
        </w:rPr>
      </w:pPr>
    </w:p>
    <w:p>
      <w:pPr>
        <w:ind w:left="800" w:hanging="364"/>
        <w:spacing w:after="0"/>
        <w:tabs>
          <w:tab w:leader="none" w:pos="8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Subsidiary may dispose of all or substantially all of its assets (upon voluntary liquidation, dissolution, winding up or otherwise)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color w:val="auto"/>
        </w:rPr>
      </w:pPr>
    </w:p>
    <w:p>
      <w:pPr>
        <w:ind w:right="80" w:firstLine="436"/>
        <w:spacing w:after="0" w:line="263" w:lineRule="auto"/>
        <w:tabs>
          <w:tab w:leader="none" w:pos="83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any Subsidiary may dispose of all or substantially all of its assets (upon voluntary liquidation, dissolution, winding up or otherwise) to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disposal by (i) a US Credit Party shall be permitted to be made only to another US Credit Party and (ii) a Canadian Credit Party shall be permitted to be made only to another Canadian Credit Party; and</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Asset Dispositions permitted by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225"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Asset Dispositions</w:t>
      </w:r>
      <w:r>
        <w:rPr>
          <w:rFonts w:ascii="Arial" w:cs="Arial" w:eastAsia="Arial" w:hAnsi="Arial"/>
          <w:sz w:val="16"/>
          <w:szCs w:val="16"/>
          <w:color w:val="auto"/>
        </w:rPr>
        <w:t>. Make any Asset Disposition except:</w:t>
      </w:r>
    </w:p>
    <w:p>
      <w:pPr>
        <w:spacing w:after="0" w:line="225" w:lineRule="exact"/>
        <w:rPr>
          <w:sz w:val="20"/>
          <w:szCs w:val="20"/>
          <w:color w:val="auto"/>
        </w:rPr>
      </w:pPr>
    </w:p>
    <w:p>
      <w:pPr>
        <w:ind w:left="820" w:hanging="384"/>
        <w:spacing w:after="0"/>
        <w:tabs>
          <w:tab w:leader="none" w:pos="8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sale of inventory or assets in the ordinary course of business;</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the transfer of assets to a Borrower or any Subsidiary Guarantor pursuant to any other transaction permitted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5360"/>
        <w:spacing w:after="0"/>
        <w:rPr>
          <w:rFonts w:ascii="Arial" w:cs="Arial" w:eastAsia="Arial" w:hAnsi="Arial"/>
          <w:sz w:val="17"/>
          <w:szCs w:val="17"/>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38" w:name="page139"/>
    <w:bookmarkEnd w:id="138"/>
    <w:p>
      <w:pPr>
        <w:ind w:firstLine="436"/>
        <w:spacing w:after="0" w:line="277" w:lineRule="auto"/>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write-off, discount, sale or other disposition of defaulted or past-due receivables and similar obligations in the ordinary course of business and not undertaken as part of an accounts receivable financing transaction;</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disposition of any Hedge Agreement or close out of any position thereunder;</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dispositions of Investments in cash and Cash Equivalents;</w:t>
      </w:r>
    </w:p>
    <w:p>
      <w:pPr>
        <w:spacing w:after="0" w:line="225" w:lineRule="exact"/>
        <w:rPr>
          <w:rFonts w:ascii="Arial" w:cs="Arial" w:eastAsia="Arial" w:hAnsi="Arial"/>
          <w:sz w:val="18"/>
          <w:szCs w:val="18"/>
          <w:color w:val="auto"/>
        </w:rPr>
      </w:pPr>
    </w:p>
    <w:p>
      <w:pPr>
        <w:ind w:left="800" w:hanging="364"/>
        <w:spacing w:after="0"/>
        <w:tabs>
          <w:tab w:leader="none" w:pos="8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transfer by any Credit Party of its assets to any other Credit Party;</w:t>
      </w:r>
    </w:p>
    <w:p>
      <w:pPr>
        <w:spacing w:after="0" w:line="225" w:lineRule="exact"/>
        <w:rPr>
          <w:rFonts w:ascii="Arial" w:cs="Arial" w:eastAsia="Arial" w:hAnsi="Arial"/>
          <w:sz w:val="18"/>
          <w:szCs w:val="18"/>
          <w:color w:val="auto"/>
        </w:rPr>
      </w:pPr>
    </w:p>
    <w:p>
      <w:pPr>
        <w:jc w:val="both"/>
        <w:ind w:right="320" w:firstLine="436"/>
        <w:spacing w:after="0" w:line="342" w:lineRule="auto"/>
        <w:tabs>
          <w:tab w:leader="none" w:pos="83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transfer by any Non-Credit Party Subsidiary of its assets to any Credit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new transfer, such Credit Party shall not pay more than an amount equal to the fair market value of such assets as determined in good faith at the time of such transfer);</w:t>
      </w:r>
    </w:p>
    <w:p>
      <w:pPr>
        <w:spacing w:after="0" w:line="123" w:lineRule="exact"/>
        <w:rPr>
          <w:rFonts w:ascii="Arial" w:cs="Arial" w:eastAsia="Arial" w:hAnsi="Arial"/>
          <w:sz w:val="16"/>
          <w:szCs w:val="16"/>
          <w:color w:val="auto"/>
        </w:rPr>
      </w:pPr>
    </w:p>
    <w:p>
      <w:pPr>
        <w:ind w:left="820" w:hanging="384"/>
        <w:spacing w:after="0"/>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transfer by any Non-Credit Party Subsidiary of its assets to any other Non-Credit Party Subsidiary;</w:t>
      </w:r>
    </w:p>
    <w:p>
      <w:pPr>
        <w:spacing w:after="0" w:line="225" w:lineRule="exact"/>
        <w:rPr>
          <w:rFonts w:ascii="Arial" w:cs="Arial" w:eastAsia="Arial" w:hAnsi="Arial"/>
          <w:sz w:val="18"/>
          <w:szCs w:val="18"/>
          <w:color w:val="auto"/>
        </w:rPr>
      </w:pPr>
    </w:p>
    <w:p>
      <w:pPr>
        <w:ind w:right="560" w:firstLine="436"/>
        <w:spacing w:after="0" w:line="277" w:lineRule="auto"/>
        <w:tabs>
          <w:tab w:leader="none" w:pos="79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sale, abandonment or other disposition of obsolete, worn-out or surplus assets no longer needed or necessary in the business of the Consolidated Company effecting such Asset Disposition or any of its Subsidiaries;</w:t>
      </w:r>
    </w:p>
    <w:p>
      <w:pPr>
        <w:spacing w:after="0" w:line="170" w:lineRule="exact"/>
        <w:rPr>
          <w:rFonts w:ascii="Arial" w:cs="Arial" w:eastAsia="Arial" w:hAnsi="Arial"/>
          <w:sz w:val="18"/>
          <w:szCs w:val="18"/>
          <w:color w:val="auto"/>
        </w:rPr>
      </w:pPr>
    </w:p>
    <w:p>
      <w:pPr>
        <w:ind w:right="120" w:firstLine="436"/>
        <w:spacing w:after="0" w:line="277" w:lineRule="auto"/>
        <w:tabs>
          <w:tab w:leader="none" w:pos="79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non-exclusive licenses and sublicenses of intellectual property rights in the ordinary course of business not interfering, individually or in the aggregate, in any material respect with the conduct of the business of the Consolidated Companies;</w:t>
      </w:r>
    </w:p>
    <w:p>
      <w:pPr>
        <w:spacing w:after="0" w:line="170" w:lineRule="exact"/>
        <w:rPr>
          <w:rFonts w:ascii="Arial" w:cs="Arial" w:eastAsia="Arial" w:hAnsi="Arial"/>
          <w:sz w:val="18"/>
          <w:szCs w:val="18"/>
          <w:color w:val="auto"/>
        </w:rPr>
      </w:pPr>
    </w:p>
    <w:p>
      <w:pPr>
        <w:ind w:right="240" w:firstLine="436"/>
        <w:spacing w:after="0" w:line="277" w:lineRule="auto"/>
        <w:tabs>
          <w:tab w:leader="none" w:pos="83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leases, subleases, licenses or sublicenses of real or personal property granted by Centuri or any of its Subsidiaries to others in the ordinary course of business not interfering in any material respect with the business of the Consolidated Companies;</w:t>
      </w:r>
    </w:p>
    <w:p>
      <w:pPr>
        <w:spacing w:after="0" w:line="170" w:lineRule="exact"/>
        <w:rPr>
          <w:rFonts w:ascii="Arial" w:cs="Arial" w:eastAsia="Arial" w:hAnsi="Arial"/>
          <w:sz w:val="18"/>
          <w:szCs w:val="18"/>
          <w:color w:val="auto"/>
        </w:rPr>
      </w:pPr>
    </w:p>
    <w:p>
      <w:pPr>
        <w:ind w:right="280" w:firstLine="436"/>
        <w:spacing w:after="0" w:line="277" w:lineRule="auto"/>
        <w:tabs>
          <w:tab w:leader="none" w:pos="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Asset Dispositions in connection with Insurance and Condemnation Events;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are complied with in connection therewith;</w:t>
      </w:r>
    </w:p>
    <w:p>
      <w:pPr>
        <w:spacing w:after="0" w:line="170" w:lineRule="exact"/>
        <w:rPr>
          <w:rFonts w:ascii="Arial" w:cs="Arial" w:eastAsia="Arial" w:hAnsi="Arial"/>
          <w:sz w:val="18"/>
          <w:szCs w:val="18"/>
          <w:color w:val="auto"/>
        </w:rPr>
      </w:pPr>
    </w:p>
    <w:p>
      <w:pPr>
        <w:ind w:left="860" w:hanging="424"/>
        <w:spacing w:after="0"/>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Asset Dispositions in connection with transactions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9.4(h)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sale of the Permitted Drum Equity to officers, directors or employees;</w:t>
      </w:r>
    </w:p>
    <w:p>
      <w:pPr>
        <w:spacing w:after="0" w:line="225" w:lineRule="exact"/>
        <w:rPr>
          <w:rFonts w:ascii="Arial" w:cs="Arial" w:eastAsia="Arial" w:hAnsi="Arial"/>
          <w:sz w:val="18"/>
          <w:szCs w:val="18"/>
          <w:color w:val="auto"/>
        </w:rPr>
      </w:pPr>
    </w:p>
    <w:p>
      <w:pPr>
        <w:ind w:right="240" w:firstLine="436"/>
        <w:spacing w:after="0" w:line="263" w:lineRule="auto"/>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Asset Dispositions not otherwise pursuant to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such transaction, no Default or Event of Default shall exist or would result from such Asset Disposition and (ii) the aggregate book value of all property disposed of in reliance on this clause (o) shall not exceed $50,000,000 during the term of this Agreement;</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sale, discount or other transfer of Receivables Assets pursuant to a Permitted Receivables Transaction; and</w:t>
      </w:r>
    </w:p>
    <w:p>
      <w:pPr>
        <w:spacing w:after="0" w:line="225" w:lineRule="exact"/>
        <w:rPr>
          <w:rFonts w:ascii="Arial" w:cs="Arial" w:eastAsia="Arial" w:hAnsi="Arial"/>
          <w:sz w:val="18"/>
          <w:szCs w:val="18"/>
          <w:color w:val="auto"/>
        </w:rPr>
      </w:pPr>
    </w:p>
    <w:p>
      <w:pPr>
        <w:ind w:right="340" w:firstLine="436"/>
        <w:spacing w:after="0" w:line="263" w:lineRule="auto"/>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Asset Dispositions not otherwise permitted pursuant to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such Asset Disposition, no Default or Event of Default shall exist or would result from such Asset Disposition and (ii) such Asset Disposition is made for fair market value and the consideration received shall be no less than seventy-five percent (75%) in cash.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139" w:name="page140"/>
    <w:bookmarkEnd w:id="139"/>
    <w:p>
      <w:pPr>
        <w:ind w:left="4"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Declare or pay any dividend on, or make any payment or other distribution on account of, or purchase, redeem, retire or otherwise acquire (directly or indirectly), or set apart assets for a sinking or other analogous fund for the purchase, redemption, retirement or other acquisition of, any class of Equity Interests of any Credit Party or any Subsidiary thereof, or make any distribution of cash, property or assets to the holders of shares of any Equity Interests of any Credit Party or any Subsidiary thereof (all of the foregoing, the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ind w:left="4" w:right="320" w:firstLine="436"/>
        <w:spacing w:after="0" w:line="277" w:lineRule="auto"/>
        <w:tabs>
          <w:tab w:leader="none" w:pos="82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any Consolidated Company may pay dividends in shares of its own Qualified Equity Interests;</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Subsidiary of a Consolidated Company may pay cash dividends to any Credit Party;</w:t>
      </w:r>
    </w:p>
    <w:p>
      <w:pPr>
        <w:spacing w:after="0" w:line="225" w:lineRule="exact"/>
        <w:rPr>
          <w:rFonts w:ascii="Arial" w:cs="Arial" w:eastAsia="Arial" w:hAnsi="Arial"/>
          <w:sz w:val="18"/>
          <w:szCs w:val="18"/>
          <w:color w:val="auto"/>
        </w:rPr>
      </w:pPr>
    </w:p>
    <w:p>
      <w:pPr>
        <w:ind w:left="4" w:right="500" w:firstLine="436"/>
        <w:spacing w:after="0" w:line="277" w:lineRule="auto"/>
        <w:tabs>
          <w:tab w:leader="none" w:pos="82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Non-Credit Party Subsidiary may make Restricted Payments to any other Non-Credit Party Subsidiary (and, if applicable, to other holders of its outstanding Equity Interests on a ratable basis);</w:t>
      </w:r>
    </w:p>
    <w:p>
      <w:pPr>
        <w:spacing w:after="0" w:line="170" w:lineRule="exact"/>
        <w:rPr>
          <w:rFonts w:ascii="Arial" w:cs="Arial" w:eastAsia="Arial" w:hAnsi="Arial"/>
          <w:sz w:val="18"/>
          <w:szCs w:val="18"/>
          <w:color w:val="auto"/>
        </w:rPr>
      </w:pPr>
    </w:p>
    <w:p>
      <w:pPr>
        <w:ind w:left="824" w:hanging="384"/>
        <w:spacing w:after="0"/>
        <w:tabs>
          <w:tab w:leader="none" w:pos="8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any Consolidated Company may declare and make Restricted Payments in an amount not to exceed the Available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4" w:right="160" w:hanging="4"/>
        <w:spacing w:after="0" w:line="253" w:lineRule="auto"/>
        <w:tabs>
          <w:tab w:leader="none" w:pos="21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or would result therefrom and (ii)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usage and any Indebtedness incurred in connection therewith, Centuri is in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4" w:right="200" w:firstLine="436"/>
        <w:spacing w:after="0" w:line="291" w:lineRule="auto"/>
        <w:tabs>
          <w:tab w:leader="none" w:pos="8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any Consolidated Company may declare and make Restricted Payments in an amount not to exceed $25,000,000 per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pro forma effect to the making of any such Restricted Payment and any Indebtedness incurred in connection therewith,</w:t>
      </w:r>
    </w:p>
    <w:p>
      <w:pPr>
        <w:ind w:left="4" w:right="80" w:hanging="4"/>
        <w:spacing w:after="0" w:line="255" w:lineRule="auto"/>
        <w:tabs>
          <w:tab w:leader="none" w:pos="21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or would result therefrom and (ii) the Consolidated Net Leverage Ratio is greater than 3.50 to 1.00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4" w:right="620" w:firstLine="436"/>
        <w:spacing w:after="0" w:line="277" w:lineRule="auto"/>
        <w:tabs>
          <w:tab w:leader="none" w:pos="80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Consolidated Company may declare and make Restricted Payments in an aggregate amount not to exceed during the term of this Agreement the greater of (i) $50,000,000 and (ii) 2.0% of Consolidated Total Assets; and</w:t>
      </w:r>
    </w:p>
    <w:p>
      <w:pPr>
        <w:spacing w:after="0" w:line="170" w:lineRule="exact"/>
        <w:rPr>
          <w:rFonts w:ascii="Arial" w:cs="Arial" w:eastAsia="Arial" w:hAnsi="Arial"/>
          <w:sz w:val="18"/>
          <w:szCs w:val="18"/>
          <w:color w:val="auto"/>
        </w:rPr>
      </w:pPr>
    </w:p>
    <w:p>
      <w:pPr>
        <w:jc w:val="both"/>
        <w:ind w:left="4" w:firstLine="436"/>
        <w:spacing w:after="0" w:line="257" w:lineRule="auto"/>
        <w:tabs>
          <w:tab w:leader="none" w:pos="83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any Consolidated Company may declare and make Restricted Payments not otherwise permitted pursuant to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pro forma effect to the making of any such Restricted Payment and any Indebtedness incurred in connection therewith, (i) no Default or Event of Default shall have occurred and be continuing and (ii)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188" w:lineRule="exact"/>
        <w:rPr>
          <w:sz w:val="20"/>
          <w:szCs w:val="20"/>
          <w:color w:val="auto"/>
        </w:rPr>
      </w:pPr>
    </w:p>
    <w:p>
      <w:pPr>
        <w:jc w:val="both"/>
        <w:ind w:left="4" w:right="140" w:firstLine="440"/>
        <w:spacing w:after="0" w:line="259"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Directly or indirectly enter into any transaction, including, without limitation, any purchase, sale, lease or exchange of Property, the rendering of any service or the payment of any management, advisory or similar fees, with (a) any officer, director, holder of any Equity Interests in, or other Affiliate of Centuri or any of its Subsidiaries or (b) any Affiliate of any such officer, director or holder, other than:</w:t>
      </w:r>
    </w:p>
    <w:p>
      <w:pPr>
        <w:spacing w:after="0" w:line="79" w:lineRule="exact"/>
        <w:rPr>
          <w:sz w:val="20"/>
          <w:szCs w:val="20"/>
          <w:color w:val="auto"/>
        </w:rPr>
      </w:pPr>
    </w:p>
    <w:p>
      <w:pPr>
        <w:ind w:left="5364" w:right="5140" w:hanging="4501"/>
        <w:spacing w:after="0" w:line="535" w:lineRule="auto"/>
        <w:tabs>
          <w:tab w:leader="none" w:pos="120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transactions permitted by </w:t>
      </w:r>
      <w:r>
        <w:rPr>
          <w:rFonts w:ascii="Arial" w:cs="Arial" w:eastAsia="Arial" w:hAnsi="Arial"/>
          <w:sz w:val="16"/>
          <w:szCs w:val="16"/>
          <w:u w:val="single" w:color="auto"/>
          <w:color w:val="auto"/>
        </w:rPr>
        <w:t>Sections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t>
      </w:r>
      <w:r>
        <w:rPr>
          <w:rFonts w:ascii="Arial" w:cs="Arial" w:eastAsia="Arial" w:hAnsi="Arial"/>
          <w:sz w:val="16"/>
          <w:szCs w:val="16"/>
          <w:u w:val="single" w:color="auto"/>
          <w:color w:val="auto"/>
        </w:rPr>
        <w:t>9.4</w:t>
      </w:r>
      <w:r>
        <w:rPr>
          <w:rFonts w:ascii="Arial" w:cs="Arial" w:eastAsia="Arial" w:hAnsi="Arial"/>
          <w:sz w:val="16"/>
          <w:szCs w:val="16"/>
          <w:color w:val="auto"/>
        </w:rPr>
        <w:t xml:space="preserve">, </w:t>
      </w:r>
      <w:r>
        <w:rPr>
          <w:rFonts w:ascii="Arial" w:cs="Arial" w:eastAsia="Arial" w:hAnsi="Arial"/>
          <w:sz w:val="16"/>
          <w:szCs w:val="16"/>
          <w:u w:val="single" w:color="auto"/>
          <w:color w:val="auto"/>
        </w:rPr>
        <w:t>9.5</w:t>
      </w:r>
      <w:r>
        <w:rPr>
          <w:rFonts w:ascii="Arial" w:cs="Arial" w:eastAsia="Arial" w:hAnsi="Arial"/>
          <w:sz w:val="16"/>
          <w:szCs w:val="16"/>
          <w:color w:val="auto"/>
        </w:rPr>
        <w:t xml:space="preserve">, </w:t>
      </w:r>
      <w:r>
        <w:rPr>
          <w:rFonts w:ascii="Arial" w:cs="Arial" w:eastAsia="Arial" w:hAnsi="Arial"/>
          <w:sz w:val="16"/>
          <w:szCs w:val="16"/>
          <w:u w:val="single" w:color="auto"/>
          <w:color w:val="auto"/>
        </w:rPr>
        <w:t>9.6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9.9</w:t>
      </w:r>
      <w:r>
        <w:rPr>
          <w:rFonts w:ascii="Arial" w:cs="Arial" w:eastAsia="Arial" w:hAnsi="Arial"/>
          <w:sz w:val="16"/>
          <w:szCs w:val="16"/>
          <w:color w:val="auto"/>
        </w:rPr>
        <w:t>; 127</w:t>
      </w:r>
    </w:p>
    <w:p>
      <w:pPr>
        <w:sectPr>
          <w:pgSz w:w="11900" w:h="16838" w:orient="portrait"/>
          <w:cols w:equalWidth="0" w:num="1">
            <w:col w:w="10984"/>
          </w:cols>
          <w:pgMar w:left="436" w:top="274" w:right="479" w:bottom="1440" w:gutter="0" w:footer="0" w:header="0"/>
        </w:sectPr>
      </w:pPr>
    </w:p>
    <w:bookmarkStart w:id="140" w:name="page141"/>
    <w:bookmarkEnd w:id="140"/>
    <w:p>
      <w:pPr>
        <w:ind w:left="1200" w:hanging="401"/>
        <w:spacing w:after="0"/>
        <w:tabs>
          <w:tab w:leader="none" w:pos="12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transactions existing on the Closing Date and described on </w:t>
      </w:r>
      <w:r>
        <w:rPr>
          <w:rFonts w:ascii="Arial" w:cs="Arial" w:eastAsia="Arial" w:hAnsi="Arial"/>
          <w:sz w:val="18"/>
          <w:szCs w:val="18"/>
          <w:u w:val="single" w:color="auto"/>
          <w:color w:val="auto"/>
        </w:rPr>
        <w:t>Schedule 9.7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80" w:right="360" w:firstLine="419"/>
        <w:spacing w:after="0" w:line="277" w:lineRule="auto"/>
        <w:tabs>
          <w:tab w:leader="none" w:pos="12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transactions (i) between or among US Credit Parties not involving any other Affiliate and (ii) between or among Canadian Credit Parties not involving any other Affiliate;</w:t>
      </w:r>
    </w:p>
    <w:p>
      <w:pPr>
        <w:spacing w:after="0" w:line="62" w:lineRule="exact"/>
        <w:rPr>
          <w:rFonts w:ascii="Arial" w:cs="Arial" w:eastAsia="Arial" w:hAnsi="Arial"/>
          <w:sz w:val="18"/>
          <w:szCs w:val="18"/>
          <w:color w:val="auto"/>
        </w:rPr>
      </w:pPr>
    </w:p>
    <w:p>
      <w:pPr>
        <w:ind w:left="380" w:right="200" w:firstLine="419"/>
        <w:spacing w:after="0" w:line="263" w:lineRule="auto"/>
        <w:tabs>
          <w:tab w:leader="none" w:pos="124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 transactions in the ordinary course of business on terms as favorable as would be obtained by it on a comparable arm’s-length transaction with an independent, unrelated third party as determined in good faith by the board of directors (or equivalent governing body) of Centuri;</w:t>
      </w:r>
    </w:p>
    <w:p>
      <w:pPr>
        <w:spacing w:after="0" w:line="75" w:lineRule="exact"/>
        <w:rPr>
          <w:rFonts w:ascii="Arial" w:cs="Arial" w:eastAsia="Arial" w:hAnsi="Arial"/>
          <w:sz w:val="18"/>
          <w:szCs w:val="18"/>
          <w:color w:val="auto"/>
        </w:rPr>
      </w:pPr>
    </w:p>
    <w:p>
      <w:pPr>
        <w:ind w:left="380" w:right="200" w:firstLine="419"/>
        <w:spacing w:after="0" w:line="277" w:lineRule="auto"/>
        <w:tabs>
          <w:tab w:leader="none" w:pos="119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employment and severance arrangements (including equity incentive plans and employee benefit plans and arrangements) with their respective officers and employees in the ordinary course of business;</w:t>
      </w:r>
    </w:p>
    <w:p>
      <w:pPr>
        <w:spacing w:after="0" w:line="62" w:lineRule="exact"/>
        <w:rPr>
          <w:rFonts w:ascii="Arial" w:cs="Arial" w:eastAsia="Arial" w:hAnsi="Arial"/>
          <w:sz w:val="18"/>
          <w:szCs w:val="18"/>
          <w:color w:val="auto"/>
        </w:rPr>
      </w:pPr>
    </w:p>
    <w:p>
      <w:pPr>
        <w:ind w:left="380" w:right="80" w:firstLine="419"/>
        <w:spacing w:after="0" w:line="263" w:lineRule="auto"/>
        <w:tabs>
          <w:tab w:leader="none" w:pos="124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payment of customary compensation, fees and reasonable out of pocket costs to, and indemnities for the benefit of, directors, officers and employees of the Consolidated Companies in the ordinary course of business to the extent attributable to the ownership or operation of the Consolidated Companies;</w:t>
      </w:r>
    </w:p>
    <w:p>
      <w:pPr>
        <w:spacing w:after="0" w:line="75" w:lineRule="exact"/>
        <w:rPr>
          <w:rFonts w:ascii="Arial" w:cs="Arial" w:eastAsia="Arial" w:hAnsi="Arial"/>
          <w:sz w:val="18"/>
          <w:szCs w:val="18"/>
          <w:color w:val="auto"/>
        </w:rPr>
      </w:pPr>
    </w:p>
    <w:p>
      <w:pPr>
        <w:ind w:left="380" w:right="20" w:firstLine="419"/>
        <w:spacing w:after="0" w:line="263" w:lineRule="auto"/>
        <w:tabs>
          <w:tab w:leader="none" w:pos="129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conveyances of assets to joint ventures pursuant to terms negotiated and agreed to on an arms-length basis with one or more third-parties that were not Affiliates of a Credit Party immediately prior to the execution and delivery of the written agreement setting forth such terms; and</w:t>
      </w:r>
    </w:p>
    <w:p>
      <w:pPr>
        <w:spacing w:after="0" w:line="75" w:lineRule="exact"/>
        <w:rPr>
          <w:rFonts w:ascii="Arial" w:cs="Arial" w:eastAsia="Arial" w:hAnsi="Arial"/>
          <w:sz w:val="18"/>
          <w:szCs w:val="18"/>
          <w:color w:val="auto"/>
        </w:rPr>
      </w:pPr>
    </w:p>
    <w:p>
      <w:pPr>
        <w:ind w:left="1380" w:hanging="581"/>
        <w:spacing w:after="0"/>
        <w:tabs>
          <w:tab w:leader="none" w:pos="13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customary overhead allocations and intercompany charges applied by Centuri on a consistent basis to its Subsidiaries generally.</w:t>
      </w:r>
    </w:p>
    <w:p>
      <w:pPr>
        <w:spacing w:after="0" w:line="356" w:lineRule="exact"/>
        <w:rPr>
          <w:sz w:val="20"/>
          <w:szCs w:val="20"/>
          <w:color w:val="auto"/>
        </w:rPr>
      </w:pPr>
    </w:p>
    <w:p>
      <w:pPr>
        <w:ind w:left="380"/>
        <w:spacing w:after="0"/>
        <w:tabs>
          <w:tab w:leader="none" w:pos="1560" w:val="left"/>
        </w:tabs>
        <w:rPr>
          <w:sz w:val="20"/>
          <w:szCs w:val="20"/>
          <w:color w:val="auto"/>
        </w:rPr>
      </w:pPr>
      <w:r>
        <w:rPr>
          <w:rFonts w:ascii="Arial" w:cs="Arial" w:eastAsia="Arial" w:hAnsi="Arial"/>
          <w:sz w:val="18"/>
          <w:szCs w:val="18"/>
          <w:color w:val="auto"/>
        </w:rPr>
        <w:t>SECTION 9.8</w:t>
      </w:r>
      <w:r>
        <w:rPr>
          <w:sz w:val="20"/>
          <w:szCs w:val="20"/>
          <w:color w:val="auto"/>
        </w:rPr>
        <w:tab/>
      </w:r>
      <w:r>
        <w:rPr>
          <w:rFonts w:ascii="Arial" w:cs="Arial" w:eastAsia="Arial" w:hAnsi="Arial"/>
          <w:sz w:val="16"/>
          <w:szCs w:val="16"/>
          <w:u w:val="single" w:color="auto"/>
          <w:color w:val="auto"/>
        </w:rPr>
        <w:t>Accounting Changes; Organizational Documents</w:t>
      </w:r>
      <w:r>
        <w:rPr>
          <w:rFonts w:ascii="Arial" w:cs="Arial" w:eastAsia="Arial" w:hAnsi="Arial"/>
          <w:sz w:val="16"/>
          <w:szCs w:val="16"/>
          <w:color w:val="auto"/>
        </w:rPr>
        <w:t>.</w:t>
      </w:r>
    </w:p>
    <w:p>
      <w:pPr>
        <w:spacing w:after="0" w:line="117" w:lineRule="exact"/>
        <w:rPr>
          <w:sz w:val="20"/>
          <w:szCs w:val="20"/>
          <w:color w:val="auto"/>
        </w:rPr>
      </w:pPr>
    </w:p>
    <w:p>
      <w:pPr>
        <w:ind w:left="-60" w:right="140" w:firstLine="436"/>
        <w:spacing w:after="0" w:line="277" w:lineRule="auto"/>
        <w:tabs>
          <w:tab w:leader="none" w:pos="7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 its Fiscal Year end, or make (without the consent of the Administrative Agent) any material change in its accounting treatment and reporting practices except as required by GAAP.</w:t>
      </w:r>
    </w:p>
    <w:p>
      <w:pPr>
        <w:spacing w:after="0" w:line="170" w:lineRule="exact"/>
        <w:rPr>
          <w:rFonts w:ascii="Arial" w:cs="Arial" w:eastAsia="Arial" w:hAnsi="Arial"/>
          <w:sz w:val="18"/>
          <w:szCs w:val="18"/>
          <w:color w:val="auto"/>
        </w:rPr>
      </w:pPr>
    </w:p>
    <w:p>
      <w:pPr>
        <w:ind w:left="-60" w:right="60" w:firstLine="436"/>
        <w:spacing w:after="0" w:line="308" w:lineRule="auto"/>
        <w:tabs>
          <w:tab w:leader="none" w:pos="7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254" w:lineRule="exact"/>
        <w:rPr>
          <w:sz w:val="20"/>
          <w:szCs w:val="20"/>
          <w:color w:val="auto"/>
        </w:rPr>
      </w:pPr>
    </w:p>
    <w:p>
      <w:pPr>
        <w:ind w:left="380"/>
        <w:spacing w:after="0"/>
        <w:tabs>
          <w:tab w:leader="none" w:pos="156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u w:val="single" w:color="auto"/>
          <w:color w:val="auto"/>
        </w:rPr>
        <w:t>Payments and Modifications of Junior Indebtedness</w:t>
      </w:r>
      <w:r>
        <w:rPr>
          <w:rFonts w:ascii="Arial" w:cs="Arial" w:eastAsia="Arial" w:hAnsi="Arial"/>
          <w:sz w:val="16"/>
          <w:szCs w:val="16"/>
          <w:color w:val="auto"/>
        </w:rPr>
        <w:t>.</w:t>
      </w:r>
    </w:p>
    <w:p>
      <w:pPr>
        <w:spacing w:after="0" w:line="117" w:lineRule="exact"/>
        <w:rPr>
          <w:sz w:val="20"/>
          <w:szCs w:val="20"/>
          <w:color w:val="auto"/>
        </w:rPr>
      </w:pPr>
    </w:p>
    <w:p>
      <w:pPr>
        <w:ind w:left="-60" w:right="220" w:firstLine="436"/>
        <w:spacing w:after="0" w:line="263" w:lineRule="auto"/>
        <w:tabs>
          <w:tab w:leader="none" w:pos="75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Amend, modify, waive or supplement (or permit the modification, amendment, waiver or supplement of) any of the terms or provisions of any Junior Indebtedness in any respect which would materially and adversely affect the rights or interests of the Administrative Agent and Lenders hereunder.</w:t>
      </w:r>
    </w:p>
    <w:p>
      <w:pPr>
        <w:spacing w:after="0" w:line="183" w:lineRule="exact"/>
        <w:rPr>
          <w:rFonts w:ascii="Arial" w:cs="Arial" w:eastAsia="Arial" w:hAnsi="Arial"/>
          <w:sz w:val="18"/>
          <w:szCs w:val="18"/>
          <w:color w:val="auto"/>
        </w:rPr>
      </w:pPr>
    </w:p>
    <w:p>
      <w:pPr>
        <w:ind w:left="-60" w:firstLine="436"/>
        <w:spacing w:after="0" w:line="263" w:lineRule="auto"/>
        <w:tabs>
          <w:tab w:leader="none" w:pos="77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Cancel, forgive, make any payment or prepayment on, or redeem or acquire for value (including, without limitation, (i) by way of depositing with any trustee with respect thereto money or securities before due for the purpose of paying when due and (ii) at the maturity thereof) any Junior Indebtedness, except:</w:t>
      </w:r>
    </w:p>
    <w:p>
      <w:pPr>
        <w:spacing w:after="0" w:line="75" w:lineRule="exact"/>
        <w:rPr>
          <w:rFonts w:ascii="Arial" w:cs="Arial" w:eastAsia="Arial" w:hAnsi="Arial"/>
          <w:sz w:val="18"/>
          <w:szCs w:val="18"/>
          <w:color w:val="auto"/>
        </w:rPr>
      </w:pPr>
    </w:p>
    <w:p>
      <w:pPr>
        <w:ind w:left="380" w:right="260" w:firstLine="419"/>
        <w:spacing w:after="0" w:line="277" w:lineRule="auto"/>
        <w:tabs>
          <w:tab w:leader="none" w:pos="1153"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refinancings, refundings, renewals, extensions or exchange of any Junior Indebtedness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by any subordination agreement applicable thereto;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00"/>
          </w:cols>
          <w:pgMar w:left="500" w:top="274" w:right="499" w:bottom="1440" w:gutter="0" w:footer="0" w:header="0"/>
        </w:sectPr>
      </w:pPr>
    </w:p>
    <w:bookmarkStart w:id="141" w:name="page142"/>
    <w:bookmarkEnd w:id="141"/>
    <w:p>
      <w:pPr>
        <w:ind w:left="444" w:right="220" w:firstLine="419"/>
        <w:spacing w:after="0" w:line="277" w:lineRule="auto"/>
        <w:tabs>
          <w:tab w:leader="none" w:pos="1267" w:val="left"/>
        </w:tabs>
        <w:numPr>
          <w:ilvl w:val="1"/>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payment of interest, expenses and indemnities in respect of Junior Indebtedness (other than any such payments prohibited by the subordination provisions thereof);</w:t>
      </w:r>
    </w:p>
    <w:p>
      <w:pPr>
        <w:spacing w:after="0" w:line="170" w:lineRule="exact"/>
        <w:rPr>
          <w:rFonts w:ascii="Arial" w:cs="Arial" w:eastAsia="Arial" w:hAnsi="Arial"/>
          <w:sz w:val="18"/>
          <w:szCs w:val="18"/>
          <w:color w:val="auto"/>
        </w:rPr>
      </w:pPr>
    </w:p>
    <w:p>
      <w:pPr>
        <w:ind w:left="4" w:right="360" w:firstLine="436"/>
        <w:spacing w:after="0" w:line="257" w:lineRule="auto"/>
        <w:tabs>
          <w:tab w:leader="none" w:pos="82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payments and prepayments of any Junior Indebtedness in an amount not to exceed the Available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has occurred and is continuing or would result therefrom and (ii)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usage and any Indebtedness incurred in connection therewith, Centuri is in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 and</w:t>
      </w:r>
    </w:p>
    <w:p>
      <w:pPr>
        <w:spacing w:after="0" w:line="187" w:lineRule="exact"/>
        <w:rPr>
          <w:rFonts w:ascii="Arial" w:cs="Arial" w:eastAsia="Arial" w:hAnsi="Arial"/>
          <w:sz w:val="18"/>
          <w:szCs w:val="18"/>
          <w:color w:val="auto"/>
        </w:rPr>
      </w:pPr>
    </w:p>
    <w:p>
      <w:pPr>
        <w:ind w:left="4" w:firstLine="436"/>
        <w:spacing w:after="0" w:line="257" w:lineRule="auto"/>
        <w:tabs>
          <w:tab w:leader="none" w:pos="83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payments and prepayments of any Junior Indebtedness not otherwise permitted pursuant to this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before and immediately after giving pro forma effect to the making of any such payment and any Indebtedness incurred in connection therewith, (A) no Default or Event of Default shall have occurred and be continuing and (B) the Consolidated Net Leverage Ratio is less than or equal to 3.50 to 1.00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296"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No Further Negative Pledges; Restrictive Agreements</w:t>
      </w:r>
      <w:r>
        <w:rPr>
          <w:rFonts w:ascii="Arial" w:cs="Arial" w:eastAsia="Arial" w:hAnsi="Arial"/>
          <w:sz w:val="16"/>
          <w:szCs w:val="16"/>
          <w:color w:val="auto"/>
        </w:rPr>
        <w:t>.</w:t>
      </w:r>
    </w:p>
    <w:p>
      <w:pPr>
        <w:spacing w:after="0" w:line="117" w:lineRule="exact"/>
        <w:rPr>
          <w:sz w:val="20"/>
          <w:szCs w:val="20"/>
          <w:color w:val="auto"/>
        </w:rPr>
      </w:pPr>
    </w:p>
    <w:p>
      <w:pPr>
        <w:ind w:left="4" w:right="120" w:firstLine="436"/>
        <w:spacing w:after="0" w:line="289" w:lineRule="auto"/>
        <w:tabs>
          <w:tab w:leader="none" w:pos="82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acquired in connection therewith and proceeds thereof), (iii) restrictions contained in the organizational documents of any Subsidiary that is not a Subsidiary Guarantor as of the Closing Date, (iv) customary restrictions in connection with any Permitted Lien or any document or instrument governing any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and proceeds thereof) and (v) restrictions contained in Permitted Receivables Transaction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solely to (A) Receivables Assets involved in such Permitted Receivables Transaction and (B) any applicable Receivables Subsidiary).</w:t>
      </w:r>
    </w:p>
    <w:p>
      <w:pPr>
        <w:spacing w:after="0" w:line="166" w:lineRule="exact"/>
        <w:rPr>
          <w:rFonts w:ascii="Arial" w:cs="Arial" w:eastAsia="Arial" w:hAnsi="Arial"/>
          <w:sz w:val="16"/>
          <w:szCs w:val="16"/>
          <w:color w:val="auto"/>
        </w:rPr>
      </w:pPr>
    </w:p>
    <w:p>
      <w:pPr>
        <w:ind w:left="4" w:right="100" w:firstLine="436"/>
        <w:spacing w:after="0" w:line="287" w:lineRule="auto"/>
        <w:tabs>
          <w:tab w:leader="none" w:pos="83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w:t>
      </w:r>
    </w:p>
    <w:p>
      <w:pPr>
        <w:spacing w:after="0" w:line="2" w:lineRule="exact"/>
        <w:rPr>
          <w:rFonts w:ascii="Arial" w:cs="Arial" w:eastAsia="Arial" w:hAnsi="Arial"/>
          <w:sz w:val="16"/>
          <w:szCs w:val="16"/>
          <w:color w:val="auto"/>
        </w:rPr>
      </w:pPr>
    </w:p>
    <w:p>
      <w:pPr>
        <w:ind w:left="4" w:right="100" w:hanging="4"/>
        <w:spacing w:after="0" w:line="286" w:lineRule="auto"/>
        <w:tabs>
          <w:tab w:leader="none" w:pos="31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make loans or advances to any Credit Party, (iv) sell, lease or transfer any of its properties or assets to any Credit Party or (v) act as a Credit Party pursuant to the Loan Documents or any renewals, refinancings, exchanges, refundings or extension thereof, except (in respect of any of the matters referred to in clauses (i) through (v) above) for such encumbrances or restrictions existing under or by reason of (A) this Agreement and the other Loan Documents, (B) Applicable Law, (C) any document or instrument governing Indebtedness incurred pursuant to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restriction contained therein relates only to the asset or assets acquired in connection therewith and proceeds thereof), (D) any Permitted Lien or any document or instrument governing any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(E) obligations that are binding on a Subsidiary at the time such Subsidiary first becomes a Subsidiary of Centuri, so long as such obligations are not entered into in contemplation of such Person becoming a Subsidiary, (F) customary restrictions contained in an agreement related to the sale of Property or the Equity Interests of a Subsidiary (to the extent such sale is permitted pursuant to </w:t>
      </w:r>
      <w:r>
        <w:rPr>
          <w:rFonts w:ascii="Arial" w:cs="Arial" w:eastAsia="Arial" w:hAnsi="Arial"/>
          <w:sz w:val="16"/>
          <w:szCs w:val="16"/>
          <w:u w:val="single" w:color="auto"/>
          <w:color w:val="auto"/>
        </w:rPr>
        <w:t>Section 9.5</w:t>
      </w:r>
      <w:r>
        <w:rPr>
          <w:rFonts w:ascii="Arial" w:cs="Arial" w:eastAsia="Arial" w:hAnsi="Arial"/>
          <w:sz w:val="16"/>
          <w:szCs w:val="16"/>
          <w:color w:val="auto"/>
        </w:rPr>
        <w:t>) that limit</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4"/>
          </w:cols>
          <w:pgMar w:left="436" w:top="274" w:right="459" w:bottom="1440" w:gutter="0" w:footer="0" w:header="0"/>
        </w:sectPr>
      </w:pPr>
    </w:p>
    <w:bookmarkStart w:id="142" w:name="page143"/>
    <w:bookmarkEnd w:id="142"/>
    <w:p>
      <w:pPr>
        <w:ind w:left="4"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transfer of such Property or Equity Interests of such Subsidiary pending the consummation of such sale, (G) customary restrictions in leases, subleases, licenses and sublicenses or asset sale agreements otherwise permitted by this Agreement so long as such restrictions relate only to the assets subject thereto, (H) customary provisions restricting assignment of any agreement entered into in the ordinary course of business and (I) restrictions contained in Permitted Receivables Transaction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solely to (x) Receivables Assets involved in such Permitted Receivables Transaction and (y) any applicable Receivables Subsidiary).</w:t>
      </w:r>
    </w:p>
    <w:p>
      <w:pPr>
        <w:spacing w:after="0" w:line="17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Nature of Business</w:t>
      </w:r>
      <w:r>
        <w:rPr>
          <w:rFonts w:ascii="Arial" w:cs="Arial" w:eastAsia="Arial" w:hAnsi="Arial"/>
          <w:sz w:val="18"/>
          <w:szCs w:val="18"/>
          <w:color w:val="auto"/>
        </w:rPr>
        <w:t>. Engage in any business other than the business conducted by the Consolidated Companies as of the Closing Date and business activities reasonably related or ancillary thereto.</w:t>
      </w:r>
    </w:p>
    <w:p>
      <w:pPr>
        <w:spacing w:after="0" w:line="170" w:lineRule="exact"/>
        <w:rPr>
          <w:sz w:val="20"/>
          <w:szCs w:val="20"/>
          <w:color w:val="auto"/>
        </w:rPr>
      </w:pPr>
    </w:p>
    <w:p>
      <w:pPr>
        <w:ind w:left="4" w:right="120" w:firstLine="440"/>
        <w:spacing w:after="0" w:line="284"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Sale Leasebacks</w:t>
      </w:r>
      <w:r>
        <w:rPr>
          <w:rFonts w:ascii="Arial" w:cs="Arial" w:eastAsia="Arial" w:hAnsi="Arial"/>
          <w:sz w:val="16"/>
          <w:szCs w:val="16"/>
          <w:color w:val="auto"/>
        </w:rPr>
        <w:t>. Directly or indirectly become or remain liable as lessee or as guarantor or other surety with respect to any lease, whether an operating lease or a Capital Lease Obligation, of any Property (whether real, personal or mixed), whether now owned or hereafter acquired, (a) which any Credit Party or any Subsidiary thereof has sold or transferred or is to sell or transfer to a Person which is not another Credit Party or Subsidiary of a Credit Party or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 except (i) any transaction with respect to Property that is not Collateral, and</w:t>
      </w:r>
    </w:p>
    <w:p>
      <w:pPr>
        <w:spacing w:after="0" w:line="4" w:lineRule="exact"/>
        <w:rPr>
          <w:sz w:val="20"/>
          <w:szCs w:val="20"/>
          <w:color w:val="auto"/>
        </w:rPr>
      </w:pPr>
    </w:p>
    <w:p>
      <w:pPr>
        <w:ind w:left="4" w:right="860" w:hanging="4"/>
        <w:spacing w:after="0" w:line="260" w:lineRule="auto"/>
        <w:tabs>
          <w:tab w:leader="none" w:pos="26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any transaction pursuant to which any Indebtedness incurred in connection therewith, the Liens securing such Indebtedness and the Asset Disposition related thereto are otherwise expressly permitted pursuant to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9.5</w:t>
      </w:r>
      <w:r>
        <w:rPr>
          <w:rFonts w:ascii="Arial" w:cs="Arial" w:eastAsia="Arial" w:hAnsi="Arial"/>
          <w:sz w:val="18"/>
          <w:szCs w:val="18"/>
          <w:color w:val="auto"/>
        </w:rPr>
        <w:t>, respectively.</w:t>
      </w:r>
    </w:p>
    <w:p>
      <w:pPr>
        <w:spacing w:after="0" w:line="293"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117" w:lineRule="exact"/>
        <w:rPr>
          <w:sz w:val="20"/>
          <w:szCs w:val="20"/>
          <w:color w:val="auto"/>
        </w:rPr>
      </w:pPr>
    </w:p>
    <w:p>
      <w:pPr>
        <w:ind w:left="4" w:firstLine="436"/>
        <w:spacing w:after="0" w:line="277" w:lineRule="auto"/>
        <w:tabs>
          <w:tab w:leader="none" w:pos="824"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As of the last day of any fiscal quarter, permit the Consolidated Interest Coverage Ratio to be less than 2.50 to 1.00.</w:t>
      </w:r>
    </w:p>
    <w:p>
      <w:pPr>
        <w:spacing w:after="0" w:line="170" w:lineRule="exact"/>
        <w:rPr>
          <w:rFonts w:ascii="Arial" w:cs="Arial" w:eastAsia="Arial" w:hAnsi="Arial"/>
          <w:sz w:val="18"/>
          <w:szCs w:val="18"/>
          <w:color w:val="auto"/>
        </w:rPr>
      </w:pPr>
    </w:p>
    <w:p>
      <w:pPr>
        <w:ind w:left="4" w:right="340" w:firstLine="436"/>
        <w:spacing w:after="0" w:line="277" w:lineRule="auto"/>
        <w:tabs>
          <w:tab w:leader="none" w:pos="834"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Consolidated Net Leverage Ratio</w:t>
      </w:r>
      <w:r>
        <w:rPr>
          <w:rFonts w:ascii="Arial" w:cs="Arial" w:eastAsia="Arial" w:hAnsi="Arial"/>
          <w:sz w:val="18"/>
          <w:szCs w:val="18"/>
          <w:color w:val="auto"/>
        </w:rPr>
        <w:t>. As of the last day of any fiscal quarter during the periods set forth below, permit the Consolidated Net Leverage Ratio to be greater than the corresponding ratio set forth below:</w:t>
      </w:r>
    </w:p>
    <w:p>
      <w:pPr>
        <w:spacing w:after="0" w:line="17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5320" w:type="dxa"/>
            <w:vAlign w:val="bottom"/>
            <w:vMerge w:val="restart"/>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Net</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7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189"/>
        </w:trPr>
        <w:tc>
          <w:tcPr>
            <w:tcW w:w="5740" w:type="dxa"/>
            <w:vAlign w:val="bottom"/>
            <w:gridSpan w:val="2"/>
          </w:tcPr>
          <w:p>
            <w:pPr>
              <w:spacing w:after="0" w:line="189" w:lineRule="exact"/>
              <w:rPr>
                <w:sz w:val="20"/>
                <w:szCs w:val="20"/>
                <w:color w:val="auto"/>
              </w:rPr>
            </w:pPr>
            <w:r>
              <w:rPr>
                <w:rFonts w:ascii="Arial" w:cs="Arial" w:eastAsia="Arial" w:hAnsi="Arial"/>
                <w:sz w:val="18"/>
                <w:szCs w:val="18"/>
                <w:color w:val="auto"/>
              </w:rPr>
              <w:t>Closing Date through September 30, 2022</w:t>
            </w:r>
          </w:p>
        </w:tc>
        <w:tc>
          <w:tcPr>
            <w:tcW w:w="1740" w:type="dxa"/>
            <w:vAlign w:val="bottom"/>
          </w:tcPr>
          <w:p>
            <w:pPr>
              <w:jc w:val="center"/>
              <w:spacing w:after="0" w:line="189" w:lineRule="exact"/>
              <w:rPr>
                <w:sz w:val="20"/>
                <w:szCs w:val="20"/>
                <w:color w:val="auto"/>
              </w:rPr>
            </w:pPr>
            <w:r>
              <w:rPr>
                <w:rFonts w:ascii="Arial" w:cs="Arial" w:eastAsia="Arial" w:hAnsi="Arial"/>
                <w:sz w:val="18"/>
                <w:szCs w:val="18"/>
                <w:color w:val="auto"/>
                <w:w w:val="90"/>
              </w:rPr>
              <w:t>5.50 to 1.00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December 31, 2022 through September 30, 2023</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4.75 to 1.00</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December 31, 2023 and thereafter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Notwithstanding the foregoing, for any measurement period ending on or after December 31, 2023, in connection with any Permitted Acquisition having aggregate cash consideration (including cash, Cash Equivalents and other deferred payment obligations) in excess of $150,000,000, Centuri may, at its election, in connection with such Permitted Acquisition and upon prior written notice to the Administrative Agent, increase the required Consolidated Net Leverage Ratio pursuant to this </w:t>
      </w:r>
      <w:r>
        <w:rPr>
          <w:rFonts w:ascii="Arial" w:cs="Arial" w:eastAsia="Arial" w:hAnsi="Arial"/>
          <w:sz w:val="16"/>
          <w:szCs w:val="16"/>
          <w:u w:val="single" w:color="auto"/>
          <w:color w:val="auto"/>
        </w:rPr>
        <w:t>Section 9.13(b)</w:t>
      </w:r>
      <w:r>
        <w:rPr>
          <w:rFonts w:ascii="Arial" w:cs="Arial" w:eastAsia="Arial" w:hAnsi="Arial"/>
          <w:sz w:val="16"/>
          <w:szCs w:val="16"/>
          <w:color w:val="auto"/>
        </w:rPr>
        <w:t xml:space="preserve"> to up to 4.50 to 1.00 (at Centuri’s option), which such increase shall be applicable</w:t>
      </w:r>
    </w:p>
    <w:p>
      <w:pPr>
        <w:spacing w:after="0" w:line="1" w:lineRule="exact"/>
        <w:rPr>
          <w:sz w:val="20"/>
          <w:szCs w:val="20"/>
          <w:color w:val="auto"/>
        </w:rPr>
      </w:pPr>
    </w:p>
    <w:p>
      <w:pPr>
        <w:ind w:left="4" w:right="280" w:hanging="4"/>
        <w:spacing w:after="0" w:line="273" w:lineRule="auto"/>
        <w:tabs>
          <w:tab w:leader="none" w:pos="21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with respect to a Permitted Acquisition that is not a Limited Condition Acquisition, for the fiscal quarter in which such Permitted Acquisition is consummated and the three (3) consecutive quarterly test periods thereafter or (ii) with respect to a Permitted Acquisition that is a Limited Condition Acquisition, for purposes of determining compliance on a Pro Forma Basis with this </w:t>
      </w:r>
      <w:r>
        <w:rPr>
          <w:rFonts w:ascii="Arial" w:cs="Arial" w:eastAsia="Arial" w:hAnsi="Arial"/>
          <w:sz w:val="17"/>
          <w:szCs w:val="17"/>
          <w:u w:val="single" w:color="auto"/>
          <w:color w:val="auto"/>
        </w:rPr>
        <w:t>Section 9.13(b)</w:t>
      </w:r>
      <w:r>
        <w:rPr>
          <w:rFonts w:ascii="Arial" w:cs="Arial" w:eastAsia="Arial" w:hAnsi="Arial"/>
          <w:sz w:val="17"/>
          <w:szCs w:val="17"/>
          <w:color w:val="auto"/>
        </w:rPr>
        <w:t xml:space="preserve"> on the LCA Test Date, for the fiscal quarter in which such Permitted Acquisition is consummated and for the three (3) consecutive quarterly test periods after which</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4"/>
          </w:cols>
          <w:pgMar w:left="436" w:top="274" w:right="459" w:bottom="1440" w:gutter="0" w:footer="0" w:header="0"/>
        </w:sectPr>
      </w:pPr>
    </w:p>
    <w:bookmarkStart w:id="143" w:name="page144"/>
    <w:bookmarkEnd w:id="143"/>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Permitted Acquisition is consummated (each, a “</w:t>
      </w:r>
      <w:r>
        <w:rPr>
          <w:rFonts w:ascii="Arial" w:cs="Arial" w:eastAsia="Arial" w:hAnsi="Arial"/>
          <w:sz w:val="18"/>
          <w:szCs w:val="18"/>
          <w:u w:val="single" w:color="auto"/>
          <w:color w:val="auto"/>
        </w:rPr>
        <w:t>Leverage Ratio 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increase shall apply solely with respect to compliance with this </w:t>
      </w:r>
      <w:r>
        <w:rPr>
          <w:rFonts w:ascii="Arial" w:cs="Arial" w:eastAsia="Arial" w:hAnsi="Arial"/>
          <w:sz w:val="18"/>
          <w:szCs w:val="18"/>
          <w:u w:val="single" w:color="auto"/>
          <w:color w:val="auto"/>
        </w:rPr>
        <w:t>Section 9.13(b)</w:t>
      </w:r>
      <w:r>
        <w:rPr>
          <w:rFonts w:ascii="Arial" w:cs="Arial" w:eastAsia="Arial" w:hAnsi="Arial"/>
          <w:sz w:val="18"/>
          <w:szCs w:val="18"/>
          <w:color w:val="auto"/>
        </w:rPr>
        <w:t xml:space="preserve"> and any determination of the Consolidated Net Leverage Ratio for purposes of the definition of Permitted Acquisition and any incurrence test with respect to any Indebtedness used to finance a Permitted Acquisition and shall not apply to any other incurrence test set forth in this Agreement and (y) there shall be at least two full fiscal quarters following the cessation of each such Leverage Ratio Increase during which no Leverage Ratio Increase shall then be in effect.</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are for the benefit of the Revolving Credit Lenders only and the Required Revolving Credit Lenders may amend, waive or otherwise modify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or the defined terms used for purposes of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or waive any Default or Event of Default resulting from a breach of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in accordance with the provisions of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Disposal of Subsidiary Interests</w:t>
      </w:r>
      <w:r>
        <w:rPr>
          <w:rFonts w:ascii="Arial" w:cs="Arial" w:eastAsia="Arial" w:hAnsi="Arial"/>
          <w:sz w:val="18"/>
          <w:szCs w:val="18"/>
          <w:color w:val="auto"/>
        </w:rPr>
        <w:t xml:space="preserve">. Permit any US Subsidiary existing as of the date hereof to be a non-Wholly-Owned Subsidiary except as a result of or in connection with a dissolution, merger, amalgamation, consolidation or disposition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9.5</w:t>
      </w:r>
      <w:r>
        <w:rPr>
          <w:rFonts w:ascii="Arial" w:cs="Arial" w:eastAsia="Arial" w:hAnsi="Arial"/>
          <w:sz w:val="18"/>
          <w:szCs w:val="18"/>
          <w:color w:val="auto"/>
        </w:rPr>
        <w:t>, except in connection with the grant of the Permitted Drum Equity to officers, directors or employees.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 AND REMEDIES</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shall constitute an Event of Default:</w:t>
      </w:r>
    </w:p>
    <w:p>
      <w:pPr>
        <w:spacing w:after="0" w:line="225" w:lineRule="exact"/>
        <w:rPr>
          <w:sz w:val="20"/>
          <w:szCs w:val="20"/>
          <w:color w:val="auto"/>
        </w:rPr>
      </w:pPr>
    </w:p>
    <w:p>
      <w:pPr>
        <w:ind w:right="240" w:firstLine="436"/>
        <w:spacing w:after="0" w:line="277" w:lineRule="auto"/>
        <w:tabs>
          <w:tab w:leader="none" w:pos="82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 of Loans and Reimbursement Obligations</w:t>
      </w:r>
      <w:r>
        <w:rPr>
          <w:rFonts w:ascii="Arial" w:cs="Arial" w:eastAsia="Arial" w:hAnsi="Arial"/>
          <w:sz w:val="18"/>
          <w:szCs w:val="18"/>
          <w:color w:val="auto"/>
        </w:rPr>
        <w:t>. Any Borrower shall default in any payment of principal of any Loan or Reimbursement Obligation when and as due (whether at maturity, by reason of acceleration or otherwise).</w:t>
      </w:r>
    </w:p>
    <w:p>
      <w:pPr>
        <w:spacing w:after="0" w:line="170" w:lineRule="exact"/>
        <w:rPr>
          <w:rFonts w:ascii="Arial" w:cs="Arial" w:eastAsia="Arial" w:hAnsi="Arial"/>
          <w:sz w:val="18"/>
          <w:szCs w:val="18"/>
          <w:color w:val="auto"/>
        </w:rPr>
      </w:pPr>
    </w:p>
    <w:p>
      <w:pPr>
        <w:ind w:right="80" w:firstLine="436"/>
        <w:spacing w:after="0" w:line="263" w:lineRule="auto"/>
        <w:tabs>
          <w:tab w:leader="none" w:pos="83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Other Payment Default</w:t>
      </w:r>
      <w:r>
        <w:rPr>
          <w:rFonts w:ascii="Arial" w:cs="Arial" w:eastAsia="Arial" w:hAnsi="Arial"/>
          <w:sz w:val="18"/>
          <w:szCs w:val="18"/>
          <w:color w:val="auto"/>
        </w:rPr>
        <w:t>. Any Borrower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83" w:lineRule="exact"/>
        <w:rPr>
          <w:rFonts w:ascii="Arial" w:cs="Arial" w:eastAsia="Arial" w:hAnsi="Arial"/>
          <w:sz w:val="18"/>
          <w:szCs w:val="18"/>
          <w:color w:val="auto"/>
        </w:rPr>
      </w:pPr>
    </w:p>
    <w:p>
      <w:pPr>
        <w:ind w:right="80" w:firstLine="436"/>
        <w:spacing w:after="0" w:line="273" w:lineRule="auto"/>
        <w:tabs>
          <w:tab w:leader="none" w:pos="820"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Misrepresentation</w:t>
      </w:r>
      <w:r>
        <w:rPr>
          <w:rFonts w:ascii="Arial" w:cs="Arial" w:eastAsia="Arial" w:hAnsi="Arial"/>
          <w:sz w:val="17"/>
          <w:szCs w:val="17"/>
          <w:color w:val="auto"/>
        </w:rPr>
        <w:t>. Any representation, warranty, certification or statement of fact made or deemed made by or on behalf of any Credit Party or any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77" w:lineRule="exact"/>
        <w:rPr>
          <w:rFonts w:ascii="Arial" w:cs="Arial" w:eastAsia="Arial" w:hAnsi="Arial"/>
          <w:sz w:val="17"/>
          <w:szCs w:val="17"/>
          <w:color w:val="auto"/>
        </w:rPr>
      </w:pPr>
    </w:p>
    <w:p>
      <w:pPr>
        <w:ind w:right="140" w:firstLine="436"/>
        <w:spacing w:after="0" w:line="254" w:lineRule="auto"/>
        <w:tabs>
          <w:tab w:leader="none" w:pos="83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Default in Performance of Certain Covenants</w:t>
      </w:r>
      <w:r>
        <w:rPr>
          <w:rFonts w:ascii="Arial" w:cs="Arial" w:eastAsia="Arial" w:hAnsi="Arial"/>
          <w:sz w:val="18"/>
          <w:szCs w:val="18"/>
          <w:color w:val="auto"/>
        </w:rPr>
        <w:t xml:space="preserve">. Any Credit Party or any Subsidiary thereof shall default in the performance or observance of any covenant or agreement contained in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8.2(a)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(a),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w:t>
      </w:r>
      <w:r>
        <w:rPr>
          <w:rFonts w:ascii="Arial" w:cs="Arial" w:eastAsia="Arial" w:hAnsi="Arial"/>
          <w:sz w:val="18"/>
          <w:szCs w:val="18"/>
          <w:u w:val="single" w:color="auto"/>
          <w:color w:val="auto"/>
        </w:rPr>
        <w:t>8.13</w:t>
      </w:r>
      <w:r>
        <w:rPr>
          <w:rFonts w:ascii="Arial" w:cs="Arial" w:eastAsia="Arial" w:hAnsi="Arial"/>
          <w:sz w:val="18"/>
          <w:szCs w:val="18"/>
          <w:color w:val="auto"/>
        </w:rPr>
        <w:t xml:space="preserve">, </w:t>
      </w:r>
      <w:r>
        <w:rPr>
          <w:rFonts w:ascii="Arial" w:cs="Arial" w:eastAsia="Arial" w:hAnsi="Arial"/>
          <w:sz w:val="18"/>
          <w:szCs w:val="18"/>
          <w:u w:val="single" w:color="auto"/>
          <w:color w:val="auto"/>
        </w:rPr>
        <w:t>8.15</w:t>
      </w:r>
      <w:r>
        <w:rPr>
          <w:rFonts w:ascii="Arial" w:cs="Arial" w:eastAsia="Arial" w:hAnsi="Arial"/>
          <w:sz w:val="18"/>
          <w:szCs w:val="18"/>
          <w:color w:val="auto"/>
        </w:rPr>
        <w:t xml:space="preserve">, </w:t>
      </w:r>
      <w:r>
        <w:rPr>
          <w:rFonts w:ascii="Arial" w:cs="Arial" w:eastAsia="Arial" w:hAnsi="Arial"/>
          <w:sz w:val="18"/>
          <w:szCs w:val="18"/>
          <w:u w:val="single" w:color="auto"/>
          <w:color w:val="auto"/>
        </w:rPr>
        <w:t>8.16</w:t>
      </w:r>
      <w:r>
        <w:rPr>
          <w:rFonts w:ascii="Arial" w:cs="Arial" w:eastAsia="Arial" w:hAnsi="Arial"/>
          <w:sz w:val="18"/>
          <w:szCs w:val="18"/>
          <w:color w:val="auto"/>
        </w:rPr>
        <w:t xml:space="preserve">, </w:t>
      </w:r>
      <w:r>
        <w:rPr>
          <w:rFonts w:ascii="Arial" w:cs="Arial" w:eastAsia="Arial" w:hAnsi="Arial"/>
          <w:sz w:val="18"/>
          <w:szCs w:val="18"/>
          <w:u w:val="single" w:color="auto"/>
          <w:color w:val="auto"/>
        </w:rPr>
        <w:t>8.17</w:t>
      </w:r>
      <w:r>
        <w:rPr>
          <w:rFonts w:ascii="Arial" w:cs="Arial" w:eastAsia="Arial" w:hAnsi="Arial"/>
          <w:sz w:val="18"/>
          <w:szCs w:val="18"/>
          <w:color w:val="auto"/>
        </w:rPr>
        <w:t xml:space="preserve">, </w:t>
      </w:r>
      <w:r>
        <w:rPr>
          <w:rFonts w:ascii="Arial" w:cs="Arial" w:eastAsia="Arial" w:hAnsi="Arial"/>
          <w:sz w:val="18"/>
          <w:szCs w:val="18"/>
          <w:u w:val="single" w:color="auto"/>
          <w:color w:val="auto"/>
        </w:rPr>
        <w:t>8.18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breach of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shall not constitute an Event of Default with respect to any Term Loans, and the Term Loan Lenders shall not be permitted to exercise any remedies with respect to a breach of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unless and until the Required Revolving Credit Lenders have declared all amounts outstanding under the Revolving Credit Facility to be due and payable and all outstanding Revolving Credit Commitments to be terminated, in each case in accordance with this Agreement and such declaration has not been rescinded.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4" w:right="459" w:bottom="1440" w:gutter="0" w:footer="0" w:header="0"/>
        </w:sectPr>
      </w:pPr>
    </w:p>
    <w:bookmarkStart w:id="144" w:name="page145"/>
    <w:bookmarkEnd w:id="144"/>
    <w:p>
      <w:pPr>
        <w:jc w:val="both"/>
        <w:ind w:left="4" w:right="200" w:firstLine="436"/>
        <w:spacing w:after="0" w:line="291" w:lineRule="auto"/>
        <w:tabs>
          <w:tab w:leader="none" w:pos="824"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in Performance of Other Covenants and Conditions</w:t>
      </w:r>
      <w:r>
        <w:rPr>
          <w:rFonts w:ascii="Arial" w:cs="Arial" w:eastAsia="Arial" w:hAnsi="Arial"/>
          <w:sz w:val="16"/>
          <w:szCs w:val="16"/>
          <w:color w:val="auto"/>
        </w:rPr>
        <w:t xml:space="preserve">. Any Credit Party or any Subsidiary thereof shall default in the performance or observance of any term, covenant, condition or agreement contained in this Agreement (other than as specifically provided for in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w:t>
      </w:r>
    </w:p>
    <w:p>
      <w:pPr>
        <w:ind w:left="4" w:right="120" w:hanging="4"/>
        <w:spacing w:after="0" w:line="290" w:lineRule="auto"/>
        <w:tabs>
          <w:tab w:leader="none" w:pos="249" w:val="left"/>
        </w:tabs>
        <w:numPr>
          <w:ilvl w:val="0"/>
          <w:numId w:val="201"/>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(d)</w:t>
      </w:r>
      <w:r>
        <w:rPr>
          <w:rFonts w:ascii="Arial" w:cs="Arial" w:eastAsia="Arial" w:hAnsi="Arial"/>
          <w:sz w:val="17"/>
          <w:szCs w:val="17"/>
          <w:color w:val="auto"/>
        </w:rPr>
        <w:t>) or any other Loan Document and such default shall continue for a period of thirty (30) days after the earlier of (i) the Administrative Agent’s delivery of written notice thereof to Centuri and (ii) a Responsible Officer of any Credit Party having obtained knowledge thereof.</w:t>
      </w:r>
    </w:p>
    <w:p>
      <w:pPr>
        <w:spacing w:after="0" w:line="161" w:lineRule="exact"/>
        <w:rPr>
          <w:rFonts w:ascii="Arial" w:cs="Arial" w:eastAsia="Arial" w:hAnsi="Arial"/>
          <w:sz w:val="17"/>
          <w:szCs w:val="17"/>
          <w:u w:val="single" w:color="auto"/>
          <w:color w:val="auto"/>
        </w:rPr>
      </w:pPr>
    </w:p>
    <w:p>
      <w:pPr>
        <w:ind w:left="4" w:firstLine="436"/>
        <w:spacing w:after="0" w:line="270" w:lineRule="auto"/>
        <w:tabs>
          <w:tab w:leader="none" w:pos="804"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Indebtedness Cross-Default</w:t>
      </w:r>
      <w:r>
        <w:rPr>
          <w:rFonts w:ascii="Arial" w:cs="Arial" w:eastAsia="Arial" w:hAnsi="Arial"/>
          <w:sz w:val="17"/>
          <w:szCs w:val="17"/>
          <w:color w:val="auto"/>
        </w:rPr>
        <w:t>. Any Credit Party or any Subsidiary thereof shall (i) default in the payment of any Indebtedness (other than the Loans or any Reimbursement Obligation) the aggregate outstanding principal amount,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outstanding principal amount,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prior to its stated maturity (any applicable grace period having expired).</w:t>
      </w:r>
    </w:p>
    <w:p>
      <w:pPr>
        <w:spacing w:after="0" w:line="180" w:lineRule="exact"/>
        <w:rPr>
          <w:rFonts w:ascii="Arial" w:cs="Arial" w:eastAsia="Arial" w:hAnsi="Arial"/>
          <w:sz w:val="17"/>
          <w:szCs w:val="17"/>
          <w:color w:val="auto"/>
        </w:rPr>
      </w:pPr>
    </w:p>
    <w:p>
      <w:pPr>
        <w:ind w:left="824" w:hanging="384"/>
        <w:spacing w:after="0"/>
        <w:tabs>
          <w:tab w:leader="none" w:pos="824"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Any Change in Control shall occur.</w:t>
      </w:r>
    </w:p>
    <w:p>
      <w:pPr>
        <w:spacing w:after="0" w:line="225" w:lineRule="exact"/>
        <w:rPr>
          <w:rFonts w:ascii="Arial" w:cs="Arial" w:eastAsia="Arial" w:hAnsi="Arial"/>
          <w:sz w:val="18"/>
          <w:szCs w:val="18"/>
          <w:color w:val="auto"/>
        </w:rPr>
      </w:pPr>
    </w:p>
    <w:p>
      <w:pPr>
        <w:ind w:left="4" w:right="80" w:firstLine="436"/>
        <w:spacing w:after="0" w:line="273" w:lineRule="auto"/>
        <w:tabs>
          <w:tab w:leader="none" w:pos="794"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Voluntary Bankruptcy Proceeding</w:t>
      </w:r>
      <w:r>
        <w:rPr>
          <w:rFonts w:ascii="Arial" w:cs="Arial" w:eastAsia="Arial" w:hAnsi="Arial"/>
          <w:sz w:val="17"/>
          <w:szCs w:val="17"/>
          <w:color w:val="auto"/>
        </w:rPr>
        <w:t>. Any Credit Party or any Subsidiary thereof or Southwest Gas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spacing w:after="0" w:line="177" w:lineRule="exact"/>
        <w:rPr>
          <w:rFonts w:ascii="Arial" w:cs="Arial" w:eastAsia="Arial" w:hAnsi="Arial"/>
          <w:sz w:val="17"/>
          <w:szCs w:val="17"/>
          <w:color w:val="auto"/>
        </w:rPr>
      </w:pPr>
    </w:p>
    <w:p>
      <w:pPr>
        <w:ind w:left="4" w:right="120" w:firstLine="436"/>
        <w:spacing w:after="0" w:line="255" w:lineRule="auto"/>
        <w:tabs>
          <w:tab w:leader="none" w:pos="794"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Involuntary Bankruptcy Proceeding</w:t>
      </w:r>
      <w:r>
        <w:rPr>
          <w:rFonts w:ascii="Arial" w:cs="Arial" w:eastAsia="Arial" w:hAnsi="Arial"/>
          <w:sz w:val="18"/>
          <w:szCs w:val="18"/>
          <w:color w:val="auto"/>
        </w:rPr>
        <w:t>. A case or other proceeding shall be commenced against any Credit Party or any Subsidiary thereof or Southwest Gas in any court of competent jurisdiction seeking (i) relief under any Debtor Relief Laws, or (ii) the appointment of a trustee, receiver, custodian, liquidator or the like for any Credit Party or any Subsidiary thereof or Southwest Gas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92" w:lineRule="exact"/>
        <w:rPr>
          <w:rFonts w:ascii="Arial" w:cs="Arial" w:eastAsia="Arial" w:hAnsi="Arial"/>
          <w:sz w:val="18"/>
          <w:szCs w:val="18"/>
          <w:color w:val="auto"/>
        </w:rPr>
      </w:pPr>
    </w:p>
    <w:p>
      <w:pPr>
        <w:jc w:val="both"/>
        <w:ind w:left="4" w:firstLine="436"/>
        <w:spacing w:after="0" w:line="279" w:lineRule="auto"/>
        <w:tabs>
          <w:tab w:leader="none" w:pos="834"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Failure of Agreements</w:t>
      </w:r>
      <w:r>
        <w:rPr>
          <w:rFonts w:ascii="Arial" w:cs="Arial" w:eastAsia="Arial" w:hAnsi="Arial"/>
          <w:sz w:val="17"/>
          <w:szCs w:val="17"/>
          <w:color w:val="auto"/>
        </w:rPr>
        <w:t>. Any provision of this Agreement or any provision of any other Loan Document shall for any reason cease to be valid and binding on any Credit Party or any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4"/>
          </w:cols>
          <w:pgMar w:left="436" w:top="274" w:right="459" w:bottom="1440" w:gutter="0" w:footer="0" w:header="0"/>
        </w:sectPr>
      </w:pPr>
    </w:p>
    <w:bookmarkStart w:id="145" w:name="page146"/>
    <w:bookmarkEnd w:id="145"/>
    <w:p>
      <w:pPr>
        <w:ind w:right="20" w:firstLine="436"/>
        <w:spacing w:after="0" w:line="271" w:lineRule="auto"/>
        <w:tabs>
          <w:tab w:leader="none" w:pos="79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Benefit Plan Events</w:t>
      </w:r>
      <w:r>
        <w:rPr>
          <w:rFonts w:ascii="Arial" w:cs="Arial" w:eastAsia="Arial" w:hAnsi="Arial"/>
          <w:sz w:val="17"/>
          <w:szCs w:val="17"/>
          <w:color w:val="auto"/>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 (ii) any Credit Party fails to make full payment when due of all amounts which, under the provisions of any Canadian Employee Benefit Plan or under Canadian Pension Laws, any Credit Party is required to pay as contributions thereto and such unpaid amounts are in excess of the Threshold Amount, (iii) a Termination Event or Canadian Termination Event or (iv)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the Threshold Amount.</w:t>
      </w:r>
    </w:p>
    <w:p>
      <w:pPr>
        <w:spacing w:after="0" w:line="178" w:lineRule="exact"/>
        <w:rPr>
          <w:rFonts w:ascii="Arial" w:cs="Arial" w:eastAsia="Arial" w:hAnsi="Arial"/>
          <w:sz w:val="17"/>
          <w:szCs w:val="17"/>
          <w:color w:val="auto"/>
        </w:rPr>
      </w:pPr>
    </w:p>
    <w:p>
      <w:pPr>
        <w:ind w:firstLine="436"/>
        <w:spacing w:after="0" w:line="279" w:lineRule="auto"/>
        <w:tabs>
          <w:tab w:leader="none" w:pos="88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Judgment</w:t>
      </w:r>
      <w:r>
        <w:rPr>
          <w:rFonts w:ascii="Arial" w:cs="Arial" w:eastAsia="Arial" w:hAnsi="Arial"/>
          <w:sz w:val="17"/>
          <w:szCs w:val="17"/>
          <w:color w:val="auto"/>
        </w:rPr>
        <w:t>. 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against any Credit Party or any Subsidiary thereof by any court and such judgment or order shall continue without having been discharged, vacated or stayed for a period of thirty (30) consecutive days after the entry thereof.</w:t>
      </w:r>
    </w:p>
    <w:p>
      <w:pPr>
        <w:spacing w:after="0" w:line="171"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Remedies</w:t>
      </w:r>
      <w:r>
        <w:rPr>
          <w:rFonts w:ascii="Arial" w:cs="Arial" w:eastAsia="Arial" w:hAnsi="Arial"/>
          <w:sz w:val="17"/>
          <w:szCs w:val="17"/>
          <w:color w:val="auto"/>
        </w:rPr>
        <w:t>. Upon the occurrence and during the continuance of an Event of Default, with the consent of the Required Lenders, the Administrative Agent may, or upon the request of the Required Lenders, the Administrative Agent shall, by notice to Centuri:</w:t>
      </w:r>
    </w:p>
    <w:p>
      <w:pPr>
        <w:spacing w:after="0" w:line="146" w:lineRule="exact"/>
        <w:rPr>
          <w:sz w:val="20"/>
          <w:szCs w:val="20"/>
          <w:color w:val="auto"/>
        </w:rPr>
      </w:pPr>
    </w:p>
    <w:p>
      <w:pPr>
        <w:ind w:right="60" w:firstLine="436"/>
        <w:spacing w:after="0" w:line="286" w:lineRule="auto"/>
        <w:tabs>
          <w:tab w:leader="none" w:pos="820"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Acceleration; Termination of Credit Facility</w:t>
      </w:r>
      <w:r>
        <w:rPr>
          <w:rFonts w:ascii="Arial" w:cs="Arial" w:eastAsia="Arial" w:hAnsi="Arial"/>
          <w:sz w:val="16"/>
          <w:szCs w:val="16"/>
          <w:color w:val="auto"/>
        </w:rPr>
        <w:t xml:space="preserve">. Terminate the Revolving Credit Commitment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any Borrower to request borrowings or Letters of Credit thereunder; provided, that upon the occurrence of an Event of Default specified in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and during the continuance of any Event of Default attributable to a failure to comply with the financial covenants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(which has not become an Event of Default with respect to the Term Loans pursuant to </w:t>
      </w:r>
      <w:r>
        <w:rPr>
          <w:rFonts w:ascii="Arial" w:cs="Arial" w:eastAsia="Arial" w:hAnsi="Arial"/>
          <w:sz w:val="16"/>
          <w:szCs w:val="16"/>
          <w:u w:val="single" w:color="auto"/>
          <w:color w:val="auto"/>
        </w:rPr>
        <w:t>Section 10.1(d)</w:t>
      </w:r>
      <w:r>
        <w:rPr>
          <w:rFonts w:ascii="Arial" w:cs="Arial" w:eastAsia="Arial" w:hAnsi="Arial"/>
          <w:sz w:val="16"/>
          <w:szCs w:val="16"/>
          <w:color w:val="auto"/>
        </w:rPr>
        <w:t>), actions pursuant to this clause (a) may be taken by the Required Revolving Credit Lenders with respect to the Revolving Credit Loans and the Revolving Credit Commitments only (without the requirement for Required Lender action) or by the Administrative Agent at the direction of the Required Revolving Credit Lenders.</w:t>
      </w:r>
    </w:p>
    <w:p>
      <w:pPr>
        <w:spacing w:after="0" w:line="170" w:lineRule="exact"/>
        <w:rPr>
          <w:rFonts w:ascii="Arial" w:cs="Arial" w:eastAsia="Arial" w:hAnsi="Arial"/>
          <w:sz w:val="16"/>
          <w:szCs w:val="16"/>
          <w:color w:val="auto"/>
        </w:rPr>
      </w:pPr>
    </w:p>
    <w:p>
      <w:pPr>
        <w:ind w:right="180" w:firstLine="436"/>
        <w:spacing w:after="0" w:line="263" w:lineRule="auto"/>
        <w:tabs>
          <w:tab w:leader="none" w:pos="83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With respect to all Letters of Credit with respect to which presentment for honor shall not have occurred at the time of an acceleration pursuant to the preceding paragraph, the Borrowers shall at such time deposit in a Cash Collateral account opened by the Administrative Agent 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146" w:name="page147"/>
    <w:bookmarkEnd w:id="146"/>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and in accordance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Borrowers.</w:t>
      </w:r>
    </w:p>
    <w:p>
      <w:pPr>
        <w:spacing w:after="0" w:line="161" w:lineRule="exact"/>
        <w:rPr>
          <w:sz w:val="20"/>
          <w:szCs w:val="20"/>
          <w:color w:val="auto"/>
        </w:rPr>
      </w:pPr>
    </w:p>
    <w:p>
      <w:pPr>
        <w:ind w:right="580" w:firstLine="436"/>
        <w:spacing w:after="0" w:line="277" w:lineRule="auto"/>
        <w:tabs>
          <w:tab w:leader="none" w:pos="82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General Remedies</w:t>
      </w:r>
      <w:r>
        <w:rPr>
          <w:rFonts w:ascii="Arial" w:cs="Arial" w:eastAsia="Arial" w:hAnsi="Arial"/>
          <w:sz w:val="18"/>
          <w:szCs w:val="18"/>
          <w:color w:val="auto"/>
        </w:rPr>
        <w:t>. Exercise on behalf of the Secured Parties all of its other rights and remedies under this Agreement, the other Loan Documents and Applicable Law, in order to satisfy all of the Secured Obligations.</w:t>
      </w:r>
    </w:p>
    <w:p>
      <w:pPr>
        <w:spacing w:after="0" w:line="278"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Rights and Remedies Cumulative; Non-Waiver; etc.</w:t>
      </w:r>
    </w:p>
    <w:p>
      <w:pPr>
        <w:spacing w:after="0" w:line="117" w:lineRule="exact"/>
        <w:rPr>
          <w:sz w:val="20"/>
          <w:szCs w:val="20"/>
          <w:color w:val="auto"/>
        </w:rPr>
      </w:pPr>
    </w:p>
    <w:p>
      <w:pPr>
        <w:ind w:right="120" w:firstLine="436"/>
        <w:spacing w:after="0" w:line="270" w:lineRule="auto"/>
        <w:tabs>
          <w:tab w:leader="none" w:pos="81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Borrowers, the 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80" w:lineRule="exact"/>
        <w:rPr>
          <w:rFonts w:ascii="Arial" w:cs="Arial" w:eastAsia="Arial" w:hAnsi="Arial"/>
          <w:sz w:val="17"/>
          <w:szCs w:val="17"/>
          <w:color w:val="auto"/>
        </w:rPr>
      </w:pPr>
    </w:p>
    <w:p>
      <w:pPr>
        <w:ind w:firstLine="436"/>
        <w:spacing w:after="0" w:line="268" w:lineRule="auto"/>
        <w:tabs>
          <w:tab w:leader="none" w:pos="83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for the benefit of all the Lenders and the Issuing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any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(ii) in addition to the matters set forth in clauses (b), (c) and (d) of the preceding proviso and subject to </w:t>
      </w:r>
      <w:r>
        <w:rPr>
          <w:rFonts w:ascii="Arial" w:cs="Arial" w:eastAsia="Arial" w:hAnsi="Arial"/>
          <w:sz w:val="17"/>
          <w:szCs w:val="17"/>
          <w:u w:val="single" w:color="auto"/>
          <w:color w:val="auto"/>
        </w:rPr>
        <w:t>Section 5.6</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Crediting of Payments and Proceeds</w:t>
      </w:r>
      <w:r>
        <w:rPr>
          <w:rFonts w:ascii="Arial" w:cs="Arial" w:eastAsia="Arial" w:hAnsi="Arial"/>
          <w:sz w:val="18"/>
          <w:szCs w:val="18"/>
          <w:color w:val="auto"/>
        </w:rPr>
        <w:t xml:space="preserve">. In the event that the Obligations have been accelerated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Administrative Agent or any Lender has exercised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4" w:right="459" w:bottom="1440" w:gutter="0" w:footer="0" w:header="0"/>
        </w:sectPr>
      </w:pPr>
    </w:p>
    <w:bookmarkStart w:id="147" w:name="page148"/>
    <w:bookmarkEnd w:id="14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remedy set forth in this Agreement or any other Loan Document, all payments received on account of the Secured Obligations and all net proceeds from the enforcement of the Secured Obligations shall be applied:</w:t>
      </w:r>
    </w:p>
    <w:p>
      <w:pPr>
        <w:spacing w:after="0" w:line="170" w:lineRule="exact"/>
        <w:rPr>
          <w:sz w:val="20"/>
          <w:szCs w:val="20"/>
          <w:color w:val="auto"/>
        </w:rPr>
      </w:pPr>
    </w:p>
    <w:p>
      <w:pPr>
        <w:ind w:right="240" w:firstLine="436"/>
        <w:spacing w:after="0" w:line="277" w:lineRule="auto"/>
        <w:tabs>
          <w:tab w:leader="none" w:pos="8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with respect to any payment received from or on behalf of, or any net proceeds from the enforcement of the Secured Obligations received from or on behalf of, any US Credit Party (or proceeds from any Collateral owned by any US Credit Party):</w:t>
      </w:r>
    </w:p>
    <w:p>
      <w:pPr>
        <w:spacing w:after="0" w:line="62" w:lineRule="exact"/>
        <w:rPr>
          <w:sz w:val="20"/>
          <w:szCs w:val="20"/>
          <w:color w:val="auto"/>
        </w:rPr>
      </w:pPr>
    </w:p>
    <w:p>
      <w:pPr>
        <w:ind w:left="440" w:right="520" w:firstLine="423"/>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that portion of the US Secured Obligations constituting fees, indemnities, expenses and other amounts, including attorney fees, payable to the Administrative Agent in its capacity as such;</w:t>
      </w:r>
    </w:p>
    <w:p>
      <w:pPr>
        <w:spacing w:after="0" w:line="62" w:lineRule="exact"/>
        <w:rPr>
          <w:sz w:val="20"/>
          <w:szCs w:val="20"/>
          <w:color w:val="auto"/>
        </w:rPr>
      </w:pPr>
    </w:p>
    <w:p>
      <w:pPr>
        <w:ind w:left="440" w:right="120" w:firstLine="423"/>
        <w:spacing w:after="0" w:line="279"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US Secured Obligations constituting fees (other than Commitment Fees and Letter of Credit fees payable to the Revolving Credit Lenders), indemnities and other amounts (other than principal and interest) payable to the Lenders, the Issuing Lenders and the Swingline Lenders under the Loan Documents, including attorney fees, ratably among the Lenders, the Issuing Lenders and the Swingline Lenders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63" w:lineRule="exact"/>
        <w:rPr>
          <w:sz w:val="20"/>
          <w:szCs w:val="20"/>
          <w:color w:val="auto"/>
        </w:rPr>
      </w:pPr>
    </w:p>
    <w:p>
      <w:pPr>
        <w:ind w:left="440" w:right="240" w:firstLine="423"/>
        <w:spacing w:after="0" w:line="286"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US Secured Obligations constituting accrued and unpaid Commitment Fees, Letter of Credit fees payable to the Revolving Credit Lenders and interest on the Loans and Reimbursement Obligations, ratably among the Lenders, the Issuing Lenders and the Swingline Lenders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payable to them;</w:t>
      </w:r>
    </w:p>
    <w:p>
      <w:pPr>
        <w:spacing w:after="0" w:line="57" w:lineRule="exact"/>
        <w:rPr>
          <w:sz w:val="20"/>
          <w:szCs w:val="20"/>
          <w:color w:val="auto"/>
        </w:rPr>
      </w:pPr>
    </w:p>
    <w:p>
      <w:pPr>
        <w:ind w:left="440" w:firstLine="423"/>
        <w:spacing w:after="0" w:line="279"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payment of that portion of the US Secured Obligations constituting unpaid principal of the Loans, Reimbursement Obligations and payment obligations then owing under Secured Hedge Agreements and Secured Cash Management Agreements and to Cash Collateralize any US L/C Obligations then outstanding, ratably among the Lenders, the Issuing Lenders, Swingline Lenders, the Hedge Banks and the Cash Management Banks in proportion to the respective amounts described in this clause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payable to them;</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payment of the Canadian Secured Obligations in the order set forth in clause (b) below; and</w:t>
      </w:r>
    </w:p>
    <w:p>
      <w:pPr>
        <w:spacing w:after="0" w:line="117" w:lineRule="exact"/>
        <w:rPr>
          <w:sz w:val="20"/>
          <w:szCs w:val="20"/>
          <w:color w:val="auto"/>
        </w:rPr>
      </w:pPr>
    </w:p>
    <w:p>
      <w:pPr>
        <w:ind w:left="440" w:right="120" w:firstLine="423"/>
        <w:spacing w:after="0" w:line="277"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US Secured Obligations and the Canadian Secured Obligations have been indefeasibly paid in full, to the Borrowers or as otherwise required by Applicable Law.</w:t>
      </w:r>
    </w:p>
    <w:p>
      <w:pPr>
        <w:spacing w:after="0" w:line="170" w:lineRule="exact"/>
        <w:rPr>
          <w:sz w:val="20"/>
          <w:szCs w:val="20"/>
          <w:color w:val="auto"/>
        </w:rPr>
      </w:pPr>
    </w:p>
    <w:p>
      <w:pPr>
        <w:ind w:right="220" w:firstLine="436"/>
        <w:spacing w:after="0" w:line="308" w:lineRule="auto"/>
        <w:tabs>
          <w:tab w:leader="none" w:pos="83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with respect to any payment received from or on behalf of, or any net proceeds from the enforcement of the Secured Obligations received from or on behalf of, any Canadian Credit Party (or proceeds from any Collateral owned by any Canadian Credit Party):</w:t>
      </w:r>
    </w:p>
    <w:p>
      <w:pPr>
        <w:spacing w:after="0" w:line="38" w:lineRule="exact"/>
        <w:rPr>
          <w:sz w:val="20"/>
          <w:szCs w:val="20"/>
          <w:color w:val="auto"/>
        </w:rPr>
      </w:pPr>
    </w:p>
    <w:p>
      <w:pPr>
        <w:ind w:left="440" w:right="60" w:firstLine="423"/>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that portion of the Canadian Secured Obligations constituting fees, indemnities, expenses and other amounts, including attorney fees, payable to the Administrative Agent in its capacity as such;</w:t>
      </w:r>
    </w:p>
    <w:p>
      <w:pPr>
        <w:spacing w:after="0" w:line="62" w:lineRule="exact"/>
        <w:rPr>
          <w:sz w:val="20"/>
          <w:szCs w:val="20"/>
          <w:color w:val="auto"/>
        </w:rPr>
      </w:pPr>
    </w:p>
    <w:p>
      <w:pPr>
        <w:ind w:left="440" w:right="20" w:firstLine="423"/>
        <w:spacing w:after="0" w:line="279"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Canadian Secured Obligations constituting fees (other than Commitment Fees and Letter of Credit fees payable to the Revolving Credit Lenders), indemnities and other amounts (other than principal and interest) payable to the Lenders, the Issuing Lenders and the Swingline Lenders under the Loan Documents, including attorney fees, ratably among the Lenders, the Issuing Lenders and the Swingline Lenders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60"/>
          </w:cols>
          <w:pgMar w:left="440" w:top="274" w:right="499" w:bottom="1440" w:gutter="0" w:footer="0" w:header="0"/>
        </w:sectPr>
      </w:pPr>
    </w:p>
    <w:bookmarkStart w:id="148" w:name="page149"/>
    <w:bookmarkEnd w:id="148"/>
    <w:p>
      <w:pPr>
        <w:ind w:left="440" w:firstLine="423"/>
        <w:spacing w:after="0" w:line="31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w:t>
      </w:r>
      <w:r>
        <w:rPr>
          <w:rFonts w:ascii="Arial" w:cs="Arial" w:eastAsia="Arial" w:hAnsi="Arial"/>
          <w:sz w:val="16"/>
          <w:szCs w:val="16"/>
          <w:color w:val="auto"/>
        </w:rPr>
        <w:t xml:space="preserve">, to payment of that portion of the Canadian Secured Obligations constituting accrued and unpaid Commitment Fees and Letter of Credit fees payable to the Revolving Credit Lenders and interest on the Loans and the Reimbursement Obligations, ratably among the Lenders, the Issuing Lenders and the Swingline Lenders in proportion to the respective amounts described in this clause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payable to them;</w:t>
      </w:r>
    </w:p>
    <w:p>
      <w:pPr>
        <w:spacing w:after="0" w:line="41" w:lineRule="exact"/>
        <w:rPr>
          <w:sz w:val="20"/>
          <w:szCs w:val="20"/>
          <w:color w:val="auto"/>
        </w:rPr>
      </w:pPr>
    </w:p>
    <w:p>
      <w:pPr>
        <w:ind w:left="440" w:firstLine="423"/>
        <w:spacing w:after="0" w:line="275"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payment of that portion of the Canadian Secured Obligations constituting unpaid principal of the Loans, Reimbursement Obligations and payment obligations then owing under Secured Hedge Agreements with Canadian Hedge Banks and Secured Cash Management Agreements with Canadian Cash Management Banks and to Cash Collateralize any Canadian L/C Obligations then outstanding, ratably among the Lenders, the Issuing Lenders and the Swingline Lenders, the Canadian Hedge Banks and the Canadian Cash Management Banks in proportion to the respective amounts described in this clause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payable to them; and</w:t>
      </w:r>
    </w:p>
    <w:p>
      <w:pPr>
        <w:spacing w:after="0" w:line="68" w:lineRule="exact"/>
        <w:rPr>
          <w:sz w:val="20"/>
          <w:szCs w:val="20"/>
          <w:color w:val="auto"/>
        </w:rPr>
      </w:pPr>
    </w:p>
    <w:p>
      <w:pPr>
        <w:ind w:left="440" w:right="160" w:firstLine="423"/>
        <w:spacing w:after="0" w:line="277"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Canadian Secured Obligations have been indefeasibly paid in full, to the Canadian Borrowers or as otherwise required by Applicable Law.</w:t>
      </w:r>
    </w:p>
    <w:p>
      <w:pPr>
        <w:spacing w:after="0" w:line="170"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Notwithstanding the foregoing, Secured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following such acceleration or exercise of remedies and at least three (3) Business Days prior to the application of the proceeds thereof. Each Cash Management Bank or Hedge Bank that is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for itself and its Affiliates as if a “Lender” party hereto.</w:t>
      </w:r>
    </w:p>
    <w:p>
      <w:pPr>
        <w:spacing w:after="0" w:line="19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Administrative Agent May File Proofs of Claim</w:t>
      </w:r>
      <w:r>
        <w:rPr>
          <w:rFonts w:ascii="Arial" w:cs="Arial" w:eastAsia="Arial" w:hAnsi="Arial"/>
          <w:sz w:val="16"/>
          <w:szCs w:val="16"/>
          <w:color w:val="auto"/>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57" w:lineRule="exact"/>
        <w:rPr>
          <w:sz w:val="20"/>
          <w:szCs w:val="20"/>
          <w:color w:val="auto"/>
        </w:rPr>
      </w:pPr>
    </w:p>
    <w:p>
      <w:pPr>
        <w:ind w:right="20" w:firstLine="436"/>
        <w:spacing w:after="0" w:line="296" w:lineRule="auto"/>
        <w:tabs>
          <w:tab w:leader="none" w:pos="82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12.3</w:t>
      </w:r>
      <w:r>
        <w:rPr>
          <w:rFonts w:ascii="Arial" w:cs="Arial" w:eastAsia="Arial" w:hAnsi="Arial"/>
          <w:sz w:val="16"/>
          <w:szCs w:val="16"/>
          <w:color w:val="auto"/>
        </w:rPr>
        <w:t>) allowed in such judicial proceeding; and</w:t>
      </w:r>
    </w:p>
    <w:p>
      <w:pPr>
        <w:spacing w:after="0" w:line="161" w:lineRule="exact"/>
        <w:rPr>
          <w:rFonts w:ascii="Arial" w:cs="Arial" w:eastAsia="Arial" w:hAnsi="Arial"/>
          <w:sz w:val="16"/>
          <w:szCs w:val="16"/>
          <w:color w:val="auto"/>
        </w:rPr>
      </w:pPr>
    </w:p>
    <w:p>
      <w:pPr>
        <w:ind w:left="820" w:hanging="384"/>
        <w:spacing w:after="0"/>
        <w:tabs>
          <w:tab w:leader="none" w:pos="8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12.3</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149" w:name="page150"/>
    <w:bookmarkEnd w:id="149"/>
    <w:p>
      <w:pPr>
        <w:ind w:right="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in any such proceeding.</w:t>
      </w:r>
    </w:p>
    <w:p>
      <w:pPr>
        <w:spacing w:after="0" w:line="25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7"/>
          <w:szCs w:val="17"/>
          <w:u w:val="single" w:color="auto"/>
          <w:color w:val="auto"/>
        </w:rPr>
        <w:t>Credit Bidding</w:t>
      </w:r>
      <w:r>
        <w:rPr>
          <w:rFonts w:ascii="Arial" w:cs="Arial" w:eastAsia="Arial" w:hAnsi="Arial"/>
          <w:sz w:val="17"/>
          <w:szCs w:val="17"/>
          <w:color w:val="auto"/>
        </w:rPr>
        <w:t>.</w:t>
      </w:r>
    </w:p>
    <w:p>
      <w:pPr>
        <w:spacing w:after="0" w:line="117" w:lineRule="exact"/>
        <w:rPr>
          <w:sz w:val="20"/>
          <w:szCs w:val="20"/>
          <w:color w:val="auto"/>
        </w:rPr>
      </w:pPr>
    </w:p>
    <w:p>
      <w:pPr>
        <w:ind w:firstLine="436"/>
        <w:spacing w:after="0" w:line="286" w:lineRule="auto"/>
        <w:tabs>
          <w:tab w:leader="none" w:pos="81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The Administrative Agent, on behalf of itself and the Secured Parties, shall have the right, exercisable at the discretion of the Required Lenders, to credit bid and purchase for the benefit of the Administrative Agent and the Secured Parties all or any portion of Collateral at any sale thereof conducted by the Administrative Agent under the provisions of the UCC, and/or the PPSA, as applicable, including pursuant to Sections 9-610 or 9-620 of the UCC, at any sale thereof conducted under the provisions of the United States Bankruptcy Code, including Section 363 thereof or any of the applicable Debtor Relief Laws,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right="80" w:firstLine="436"/>
        <w:spacing w:after="0" w:line="259" w:lineRule="auto"/>
        <w:tabs>
          <w:tab w:leader="none" w:pos="83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Loan Documents, or exercise any right that it might otherwise have under Applicable Law to credit bid at foreclosure sales, UCC and/or PPSA sales, as applicable, or other similar dispositions of Collateral.</w:t>
      </w:r>
    </w:p>
    <w:p>
      <w:pPr>
        <w:spacing w:after="0" w:line="18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If, for the purpose of obtaining judgment in any court or obtaining an order enforcing a judgment, it becomes necessary to convert any amount due under this Agreement in Dollars or in any other currency (hereinafter in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called the “first currency”) into any other currency (hereinafter in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called the “second currency”), then the conversion shall be made at the Administrative Agent’s spot rate of exchange for buying the first currency with the second currency prevailing at the Administrative Agent’s close of business on the Business Day next preceding the day on which the judgment is given or (as the case may be) the order is made. Any payment made by a Credit Party to any Secured Party pursuant to this Agreement in the second currency shall constitute a discharge of the obligations of any applicable Credit Parties to pay to such Secured Party any amount originally due to the Secured Party in the first currency under this Agreement only to the extent of the amount of the first currency which such Secured Party is able, on the date of the receipt by it of such payment in any second currency, to purchase, in accordance with such Secured Party’s normal banking procedures, with the amount of such second currency so received. If the amount of the first currency falls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80"/>
          </w:cols>
          <w:pgMar w:left="440" w:top="274" w:right="479" w:bottom="1440" w:gutter="0" w:footer="0" w:header="0"/>
        </w:sectPr>
      </w:pPr>
    </w:p>
    <w:bookmarkStart w:id="150" w:name="page151"/>
    <w:bookmarkEnd w:id="150"/>
    <w:p>
      <w:pPr>
        <w:ind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short of the amount originally due to such Secured Party in the first currency under this Agreement, the Credit Parties agree that they will indemnify each Secured Party against and save such Secured Party harmless from any shortfall so arising. If the amount of the first currency exceeds the amount originally due to a Secured Party in the first currency under this Agreement, such Secured Party shall promptly remit such excess to the Credit Parties. The covenants contained in this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shall survive the termination of the Loan Documents and payment of the obligations hereunder.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w:t>
      </w:r>
    </w:p>
    <w:p>
      <w:pPr>
        <w:spacing w:after="0" w:line="117" w:lineRule="exact"/>
        <w:rPr>
          <w:sz w:val="20"/>
          <w:szCs w:val="20"/>
          <w:color w:val="auto"/>
        </w:rPr>
      </w:pPr>
    </w:p>
    <w:p>
      <w:pPr>
        <w:ind w:right="120" w:firstLine="436"/>
        <w:spacing w:after="0" w:line="270" w:lineRule="auto"/>
        <w:tabs>
          <w:tab w:leader="none" w:pos="8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Each of the Lenders and each Issuing Lender hereby irrevocably appoints, designates and authorizes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Arial" w:cs="Arial" w:eastAsia="Arial" w:hAnsi="Arial"/>
          <w:sz w:val="17"/>
          <w:szCs w:val="17"/>
          <w:u w:val="single" w:color="auto"/>
          <w:color w:val="auto"/>
        </w:rPr>
        <w:t>Sections 11.6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11.9</w:t>
      </w:r>
      <w:r>
        <w:rPr>
          <w:rFonts w:ascii="Arial" w:cs="Arial" w:eastAsia="Arial" w:hAnsi="Arial"/>
          <w:sz w:val="17"/>
          <w:szCs w:val="17"/>
          <w:color w:val="auto"/>
        </w:rPr>
        <w:t xml:space="preserve"> the provisions of this Article are solely for the benefit of the Administrative Agent, the Arrangers, the Lenders, the Issuing Lenders and their respective Related Parties, and no Consolidated Company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0" w:lineRule="exact"/>
        <w:rPr>
          <w:rFonts w:ascii="Arial" w:cs="Arial" w:eastAsia="Arial" w:hAnsi="Arial"/>
          <w:sz w:val="17"/>
          <w:szCs w:val="17"/>
          <w:color w:val="auto"/>
        </w:rPr>
      </w:pPr>
    </w:p>
    <w:p>
      <w:pPr>
        <w:ind w:firstLine="436"/>
        <w:spacing w:after="0" w:line="269" w:lineRule="auto"/>
        <w:tabs>
          <w:tab w:leader="none" w:pos="82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under the Loan Documents, and each of the Lenders (including each holder of Secured Hedge Obligations and Secured Cash Management Obligations)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without limitation,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Arial" w:cs="Arial" w:eastAsia="Arial" w:hAnsi="Arial"/>
          <w:sz w:val="17"/>
          <w:szCs w:val="17"/>
          <w:u w:val="single" w:color="auto"/>
          <w:color w:val="auto"/>
        </w:rPr>
        <w:t>Articles XI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12.3</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8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capital markets or other business with the Consolidated Companies or other Affiliates thereof as if such Person were not the Administrative Agent hereunder and without any duty to account therefor to the Lenders or to provide notice to or consent of the Lenders with respect thereto.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51" w:name="page152"/>
    <w:bookmarkEnd w:id="151"/>
    <w:p>
      <w:pPr>
        <w:ind w:left="440"/>
        <w:spacing w:after="0"/>
        <w:tabs>
          <w:tab w:leader="none" w:pos="1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w:t>
      </w:r>
    </w:p>
    <w:p>
      <w:pPr>
        <w:spacing w:after="0" w:line="117" w:lineRule="exact"/>
        <w:rPr>
          <w:sz w:val="20"/>
          <w:szCs w:val="20"/>
          <w:color w:val="auto"/>
        </w:rPr>
      </w:pPr>
    </w:p>
    <w:p>
      <w:pPr>
        <w:ind w:right="120" w:firstLine="436"/>
        <w:spacing w:after="0" w:line="263" w:lineRule="auto"/>
        <w:tabs>
          <w:tab w:leader="none" w:pos="81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Administrative Agent, the Arrangers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Arrangers and their respective Related Parties:</w:t>
      </w:r>
    </w:p>
    <w:p>
      <w:pPr>
        <w:spacing w:after="0" w:line="75" w:lineRule="exact"/>
        <w:rPr>
          <w:rFonts w:ascii="Arial" w:cs="Arial" w:eastAsia="Arial" w:hAnsi="Arial"/>
          <w:sz w:val="18"/>
          <w:szCs w:val="18"/>
          <w:color w:val="auto"/>
        </w:rPr>
      </w:pPr>
    </w:p>
    <w:p>
      <w:pPr>
        <w:ind w:left="440" w:right="480" w:firstLine="419"/>
        <w:spacing w:after="0" w:line="277" w:lineRule="auto"/>
        <w:tabs>
          <w:tab w:leader="none" w:pos="121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shall not be subject to any agency, trust, fiduciary or other implied duties, regardless of whether a Default or Event of Default has occurred and is continuing;</w:t>
      </w:r>
    </w:p>
    <w:p>
      <w:pPr>
        <w:spacing w:after="0" w:line="62" w:lineRule="exact"/>
        <w:rPr>
          <w:rFonts w:ascii="Arial" w:cs="Arial" w:eastAsia="Arial" w:hAnsi="Arial"/>
          <w:sz w:val="18"/>
          <w:szCs w:val="18"/>
          <w:color w:val="auto"/>
        </w:rPr>
      </w:pPr>
    </w:p>
    <w:p>
      <w:pPr>
        <w:ind w:left="440" w:firstLine="419"/>
        <w:spacing w:after="0" w:line="272" w:lineRule="auto"/>
        <w:tabs>
          <w:tab w:leader="none" w:pos="1263" w:val="left"/>
        </w:tabs>
        <w:numPr>
          <w:ilvl w:val="1"/>
          <w:numId w:val="211"/>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69" w:lineRule="exact"/>
        <w:rPr>
          <w:rFonts w:ascii="Arial" w:cs="Arial" w:eastAsia="Arial" w:hAnsi="Arial"/>
          <w:sz w:val="17"/>
          <w:szCs w:val="17"/>
          <w:color w:val="auto"/>
        </w:rPr>
      </w:pPr>
    </w:p>
    <w:p>
      <w:pPr>
        <w:ind w:left="440" w:right="240" w:firstLine="419"/>
        <w:spacing w:after="0" w:line="255" w:lineRule="auto"/>
        <w:tabs>
          <w:tab w:leader="none" w:pos="131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shall not, have any duty to disclose, and shall not be liable for the failure to disclose to any Lender, any Issuing Lender or any other Person, any credit or other information relating concerning the business, prospects, operations, properties, assets, financial or other condition or creditworthiness of the Consolidated Companies or any of their respective Subsidiaries or Affiliates that is communicated to, obtained by or otherwise in the possession of the Person serving as the Administrative Agent, the Arrangers or their respective Related Parties in any capacity, except for notices, reports and other documents that are required to be furnished by the Administrative Agent to the Lenders pursuant to the express provisions of this Agreement; and</w:t>
      </w:r>
    </w:p>
    <w:p>
      <w:pPr>
        <w:spacing w:after="0" w:line="84" w:lineRule="exact"/>
        <w:rPr>
          <w:rFonts w:ascii="Arial" w:cs="Arial" w:eastAsia="Arial" w:hAnsi="Arial"/>
          <w:sz w:val="18"/>
          <w:szCs w:val="18"/>
          <w:color w:val="auto"/>
        </w:rPr>
      </w:pPr>
    </w:p>
    <w:p>
      <w:pPr>
        <w:ind w:left="440" w:firstLine="419"/>
        <w:spacing w:after="0" w:line="277" w:lineRule="auto"/>
        <w:tabs>
          <w:tab w:leader="none" w:pos="130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shall not be required to account to any Lender or any Issuing Lender for any sum or profit received by the Administrative Agent for its own account.</w:t>
      </w:r>
    </w:p>
    <w:p>
      <w:pPr>
        <w:spacing w:after="0" w:line="170" w:lineRule="exact"/>
        <w:rPr>
          <w:rFonts w:ascii="Arial" w:cs="Arial" w:eastAsia="Arial" w:hAnsi="Arial"/>
          <w:sz w:val="18"/>
          <w:szCs w:val="18"/>
          <w:color w:val="auto"/>
        </w:rPr>
      </w:pPr>
    </w:p>
    <w:p>
      <w:pPr>
        <w:ind w:right="20" w:firstLine="436"/>
        <w:spacing w:after="0" w:line="254" w:lineRule="auto"/>
        <w:tabs>
          <w:tab w:leader="none" w:pos="82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Administrative Agent, the Arrangers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10.2</w:t>
      </w:r>
      <w:r>
        <w:rPr>
          <w:rFonts w:ascii="Arial" w:cs="Arial" w:eastAsia="Arial" w:hAnsi="Arial"/>
          <w:sz w:val="18"/>
          <w:szCs w:val="18"/>
          <w:color w:val="auto"/>
        </w:rPr>
        <w:t>) or (ii) in the absence of its own gross negligence, willful misconduct or breach in bad faith of obligations hereunder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a Borrower, a Lender or an Issuing Lender.</w:t>
      </w:r>
    </w:p>
    <w:p>
      <w:pPr>
        <w:spacing w:after="0" w:line="191" w:lineRule="exact"/>
        <w:rPr>
          <w:rFonts w:ascii="Arial" w:cs="Arial" w:eastAsia="Arial" w:hAnsi="Arial"/>
          <w:sz w:val="18"/>
          <w:szCs w:val="18"/>
          <w:color w:val="auto"/>
        </w:rPr>
      </w:pPr>
    </w:p>
    <w:p>
      <w:pPr>
        <w:ind w:right="20" w:firstLine="436"/>
        <w:spacing w:after="0" w:line="257" w:lineRule="auto"/>
        <w:tabs>
          <w:tab w:leader="none" w:pos="81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Administrative Agent, the Arrangers and their respective Related Parties shall not be responsible for or have any duty or obligations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report provided to it by an Issuing Lender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(iii) the performance or observance of any of the covenants,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0"/>
          </w:cols>
          <w:pgMar w:left="440" w:top="274" w:right="459" w:bottom="1440" w:gutter="0" w:footer="0" w:header="0"/>
        </w:sectPr>
      </w:pPr>
    </w:p>
    <w:bookmarkStart w:id="152" w:name="page153"/>
    <w:bookmarkEnd w:id="152"/>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the satisfaction of any condition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elsewhere herein, other than to confirm receipt of items expressly required to be delivered to the Administrative Agent or (vii) the utilization of any Issuing Lender’s L/C Commitment (it being understood and agreed that each Issuing Lender shall monitor compliance with its own L/C Commitment without any further action by the Administrative Agent).</w:t>
      </w:r>
    </w:p>
    <w:p>
      <w:pPr>
        <w:spacing w:after="0" w:line="17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Each Lender or Issuing Lender that has signed this Agreement or a signature page to an Assignment and Assumption or any other Loan Document pursuant to which it is to become a Lender or Issuing Lender hereunder shall be deemed to have consented to, approved and accepted and shall deemed satisfied with each document or other matter required thereunder to be consented to, approved or accepted by such Lender or Issuing Lender or that is to be acceptable or satisfactory to such Lender or Issuing Lender.</w:t>
      </w:r>
    </w:p>
    <w:p>
      <w:pPr>
        <w:spacing w:after="0" w:line="184" w:lineRule="exact"/>
        <w:rPr>
          <w:sz w:val="20"/>
          <w:szCs w:val="20"/>
          <w:color w:val="auto"/>
        </w:rPr>
      </w:pPr>
    </w:p>
    <w:p>
      <w:pPr>
        <w:ind w:right="240" w:firstLine="440"/>
        <w:spacing w:after="0" w:line="271"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86"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w:t>
      </w:r>
    </w:p>
    <w:p>
      <w:pPr>
        <w:spacing w:after="0" w:line="117" w:lineRule="exact"/>
        <w:rPr>
          <w:sz w:val="20"/>
          <w:szCs w:val="20"/>
          <w:color w:val="auto"/>
        </w:rPr>
      </w:pPr>
    </w:p>
    <w:p>
      <w:pPr>
        <w:ind w:right="20" w:firstLine="436"/>
        <w:spacing w:after="0" w:line="296" w:lineRule="auto"/>
        <w:tabs>
          <w:tab w:leader="none" w:pos="81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Issuing Lenders and the Borrowers. Upon receipt of any such notice of resignation, the Required Lenders shall have the right, in consultation with the Borrowers, to appoint a successor, which shall be a bank or financial institution reasonably experienced in serving as administrative agent on syndicated bank facilities with an office in the United States, or an Affiliate of any such bank or financial institution with an office in the United States. If no such successor shall have been so appointed by the Required Lenders and shall have accepted such appointment within thirty (30) days after the retiring Administrative Agent gives notice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80"/>
          </w:cols>
          <w:pgMar w:left="440" w:top="274" w:right="479" w:bottom="1440" w:gutter="0" w:footer="0" w:header="0"/>
        </w:sectPr>
      </w:pPr>
    </w:p>
    <w:bookmarkStart w:id="153" w:name="page154"/>
    <w:bookmarkEnd w:id="153"/>
    <w:p>
      <w:pPr>
        <w:ind w:right="2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xml:space="preserve">”), then the retiring Administrative Agent may (but shall not be obligated to), on behalf of the Lenders and the Issuing Lenders,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57" w:lineRule="exact"/>
        <w:rPr>
          <w:sz w:val="20"/>
          <w:szCs w:val="20"/>
          <w:color w:val="auto"/>
        </w:rPr>
      </w:pPr>
    </w:p>
    <w:p>
      <w:pPr>
        <w:ind w:right="20" w:firstLine="436"/>
        <w:spacing w:after="0" w:line="275" w:lineRule="auto"/>
        <w:tabs>
          <w:tab w:leader="none" w:pos="83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Applicable Law, by notice in writing to Centuri and such Person, remove such Person as Administrative Agent and, in consultation with the Borrowers,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6" w:lineRule="exact"/>
        <w:rPr>
          <w:rFonts w:ascii="Arial" w:cs="Arial" w:eastAsia="Arial" w:hAnsi="Arial"/>
          <w:sz w:val="17"/>
          <w:szCs w:val="17"/>
          <w:color w:val="auto"/>
        </w:rPr>
      </w:pPr>
    </w:p>
    <w:p>
      <w:pPr>
        <w:ind w:firstLine="436"/>
        <w:spacing w:after="0" w:line="267" w:lineRule="auto"/>
        <w:tabs>
          <w:tab w:leader="none" w:pos="81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or relating to its duties as Administrative Agent that are carried out following its retirement or removal, including, without limitation, any actions taken with respect to acting as collateral agent or otherwise holding any Collateral on behalf of any of the Secured Parties or in respect of any actions taken in connection with the transfer of agency to a replacement or successor Administrative Agent.</w:t>
      </w:r>
    </w:p>
    <w:p>
      <w:pPr>
        <w:spacing w:after="0" w:line="189" w:lineRule="exact"/>
        <w:rPr>
          <w:rFonts w:ascii="Arial" w:cs="Arial" w:eastAsia="Arial" w:hAnsi="Arial"/>
          <w:sz w:val="17"/>
          <w:szCs w:val="17"/>
          <w:color w:val="auto"/>
        </w:rPr>
      </w:pPr>
    </w:p>
    <w:p>
      <w:pPr>
        <w:ind w:right="40" w:firstLine="436"/>
        <w:spacing w:after="0" w:line="272" w:lineRule="auto"/>
        <w:tabs>
          <w:tab w:leader="none" w:pos="8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resignation by, or removal of, Wells Fargo as Administrative Agent pursuant to this Section shall also constitute its resignation as an Issuing Lender and Swingline Lender. Upon the acceptance of a successor’s appointment as Administrative Agent hereunder, (a) such successor shall succeed to and become vested with all of the rights, powers, privileges and duties of the retiring Issuing Lender, if in its sole discretion it elects to, and Swingline Lender, (b) the retiring Issuing Lender and Swingline Lender shall be discharged from all of their respective duties and obligations hereunder or under the other Loan Documents, and (c)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80"/>
          </w:cols>
          <w:pgMar w:left="440" w:top="274" w:right="479" w:bottom="1440" w:gutter="0" w:footer="0" w:header="0"/>
        </w:sectPr>
      </w:pPr>
    </w:p>
    <w:bookmarkStart w:id="154" w:name="page155"/>
    <w:bookmarkEnd w:id="154"/>
    <w:p>
      <w:pPr>
        <w:ind w:left="4" w:firstLine="4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Each Lender and each Issuing Lender expressly acknowledges that none of the Administrative Agent, any Arranger or any of their respective Related Parties has made any representations or warranties to it and that no act taken or failure to act by the Administrative Agent, any Arranger or any of their respective Related Parties, including any consent to, and acceptance of any assignment or review of the affairs of the Consolidated Companies and their Subsidiaries or Affiliates shall be deemed to constitute a representation or warranty of the Administrative Agent, any Arranger or any of their respective Related Parties to any Lender, any Issuing Lender or any other Secured Party as to any matter, including whether the Administrative Agent, any Arranger or any of their respective Related Parties have disclosed material information in their (or their respective Related Parties’) possession. Each Lender and each Issuing Lender expressly acknowledges, represents and warrants to the Administrative Agent and each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making, acquiring, purchasing or holding any other type of financial instrument,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 without reliance upon the Administrative Agent, any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Consolidated Companies and their Subsidiaries, all applicable bank or other regulatory Applicable Laws relating to the Transactions and the transactions contemplated by this Agreement and the other Loan Documents and (e) it has made its own independent decision to enter into this Agreement and the other Loan Documents to which it is a party and to extend credit hereunder and thereunder. Each Lender and each Issuing Lender also acknowledges that (i) it will, independently and without reliance upon the Administrative Agent, any Arranger or any other Lender or any of their respective Related Parties</w:t>
      </w:r>
    </w:p>
    <w:p>
      <w:pPr>
        <w:spacing w:after="0" w:line="11" w:lineRule="exact"/>
        <w:rPr>
          <w:sz w:val="20"/>
          <w:szCs w:val="20"/>
          <w:color w:val="auto"/>
        </w:rPr>
      </w:pPr>
    </w:p>
    <w:p>
      <w:pPr>
        <w:ind w:left="4" w:right="20" w:hanging="4"/>
        <w:spacing w:after="0" w:line="295" w:lineRule="auto"/>
        <w:tabs>
          <w:tab w:leader="none" w:pos="29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Consolidated Companies and their Subsidiaries and (ii) it will not assert any claim in contravention of this </w:t>
      </w:r>
      <w:r>
        <w:rPr>
          <w:rFonts w:ascii="Arial" w:cs="Arial" w:eastAsia="Arial" w:hAnsi="Arial"/>
          <w:sz w:val="16"/>
          <w:szCs w:val="16"/>
          <w:u w:val="single" w:color="auto"/>
          <w:color w:val="auto"/>
        </w:rPr>
        <w:t>Section 11.7</w:t>
      </w:r>
      <w:r>
        <w:rPr>
          <w:rFonts w:ascii="Arial" w:cs="Arial" w:eastAsia="Arial" w:hAnsi="Arial"/>
          <w:sz w:val="16"/>
          <w:szCs w:val="16"/>
          <w:color w:val="auto"/>
        </w:rPr>
        <w:t>.</w:t>
      </w:r>
    </w:p>
    <w:p>
      <w:pPr>
        <w:spacing w:after="0" w:line="161"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No Other Duties, Etc.</w:t>
      </w:r>
      <w:r>
        <w:rPr>
          <w:rFonts w:ascii="Arial" w:cs="Arial" w:eastAsia="Arial" w:hAnsi="Arial"/>
          <w:sz w:val="17"/>
          <w:szCs w:val="17"/>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 but each such Person shall have the benefit of the indemnities and exculpatory provisions hereof.</w:t>
      </w:r>
    </w:p>
    <w:p>
      <w:pPr>
        <w:spacing w:after="0" w:line="279"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117" w:lineRule="exact"/>
        <w:rPr>
          <w:sz w:val="20"/>
          <w:szCs w:val="20"/>
          <w:color w:val="auto"/>
        </w:rPr>
      </w:pPr>
    </w:p>
    <w:p>
      <w:pPr>
        <w:ind w:left="4" w:right="740" w:firstLine="436"/>
        <w:spacing w:after="0" w:line="277" w:lineRule="auto"/>
        <w:tabs>
          <w:tab w:leader="none" w:pos="8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of the Lenders (including in its or any of its Affiliate’s capacities as a holder of Secured Hedge Obligations and Secured Cash Management Obligations) irrevocably authorize the Administrative Agent:</w:t>
      </w:r>
    </w:p>
    <w:p>
      <w:pPr>
        <w:spacing w:after="0" w:line="62" w:lineRule="exact"/>
        <w:rPr>
          <w:rFonts w:ascii="Arial" w:cs="Arial" w:eastAsia="Arial" w:hAnsi="Arial"/>
          <w:sz w:val="18"/>
          <w:szCs w:val="18"/>
          <w:color w:val="auto"/>
        </w:rPr>
      </w:pPr>
    </w:p>
    <w:p>
      <w:pPr>
        <w:ind w:left="444" w:right="420" w:firstLine="419"/>
        <w:spacing w:after="0" w:line="342" w:lineRule="auto"/>
        <w:tabs>
          <w:tab w:leader="none" w:pos="121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to release any Lien on any Collateral granted to or held by the Administrative Agent, for the ratable benefit of the Secured Parties, under any Loan Document (A) upon the termination of the Revolving Credit Commitment and payment in full of all Secured Obligations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4"/>
          </w:cols>
          <w:pgMar w:left="436" w:top="274" w:right="459" w:bottom="1440" w:gutter="0" w:footer="0" w:header="0"/>
        </w:sectPr>
      </w:pPr>
    </w:p>
    <w:bookmarkStart w:id="155" w:name="page156"/>
    <w:bookmarkEnd w:id="155"/>
    <w:p>
      <w:pPr>
        <w:ind w:left="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than (1) contingent indemnification obligations and (2) Secured Cash Management Obligations or Secured Hedge Obligations) and the expiration or termination of all Letters of Credit (other than Letters of Credit which have been Cash Collateralized or as to which other arrangements satisfactory to the Administrative Agent and the applicable Issuing Lender shall have been made), (B) that is sold or otherwise disposed of or to be sold or otherwise disposed of as part of or in connection with any sale or other disposition to a Person other than a Credit Party permitted under the Loan Documents, as certified by Centuri, or (C) if approved, authorized or ratified in writing by the Required Lenders in accordance with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release of all or substantially of the Collateral shall be subject to </w:t>
      </w:r>
      <w:r>
        <w:rPr>
          <w:rFonts w:ascii="Arial" w:cs="Arial" w:eastAsia="Arial" w:hAnsi="Arial"/>
          <w:sz w:val="17"/>
          <w:szCs w:val="17"/>
          <w:u w:val="single" w:color="auto"/>
          <w:color w:val="auto"/>
        </w:rPr>
        <w:t>Section 12.2(j)</w:t>
      </w:r>
      <w:r>
        <w:rPr>
          <w:rFonts w:ascii="Arial" w:cs="Arial" w:eastAsia="Arial" w:hAnsi="Arial"/>
          <w:sz w:val="17"/>
          <w:szCs w:val="17"/>
          <w:color w:val="auto"/>
        </w:rPr>
        <w:t>;</w:t>
      </w:r>
    </w:p>
    <w:p>
      <w:pPr>
        <w:spacing w:after="0" w:line="70" w:lineRule="exact"/>
        <w:rPr>
          <w:sz w:val="20"/>
          <w:szCs w:val="20"/>
          <w:color w:val="auto"/>
        </w:rPr>
      </w:pPr>
    </w:p>
    <w:p>
      <w:pPr>
        <w:ind w:left="440" w:right="220" w:firstLine="419"/>
        <w:spacing w:after="0" w:line="263" w:lineRule="auto"/>
        <w:tabs>
          <w:tab w:leader="none" w:pos="126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to subordinate any Lien on any Collateral granted to or held by the Administrative Agent under any Loan Document to the holder of any Lien permitted pursuant to </w:t>
      </w:r>
      <w:r>
        <w:rPr>
          <w:rFonts w:ascii="Arial" w:cs="Arial" w:eastAsia="Arial" w:hAnsi="Arial"/>
          <w:sz w:val="18"/>
          <w:szCs w:val="18"/>
          <w:u w:val="single" w:color="auto"/>
          <w:color w:val="auto"/>
        </w:rPr>
        <w:t>Section 9.2(h)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subordination of all or substantially all of the Collateral shall be subject to </w:t>
      </w:r>
      <w:r>
        <w:rPr>
          <w:rFonts w:ascii="Arial" w:cs="Arial" w:eastAsia="Arial" w:hAnsi="Arial"/>
          <w:sz w:val="18"/>
          <w:szCs w:val="18"/>
          <w:u w:val="single" w:color="auto"/>
          <w:color w:val="auto"/>
        </w:rPr>
        <w:t>Section 12.2(j)</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440" w:right="20" w:firstLine="419"/>
        <w:spacing w:after="0" w:line="286" w:lineRule="auto"/>
        <w:tabs>
          <w:tab w:leader="none" w:pos="131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to release any Subsidiary Guarantor from its obligations under any Loan Documents if such Person ceases to be a Subsidiary as a result of a transaction permitted under the Loan Documents, as certified by Centuri;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release of Subsidiary Guarantors comprising substantially all of the credit support for the Secured Obligations shall be subject to </w:t>
      </w:r>
      <w:r>
        <w:rPr>
          <w:rFonts w:ascii="Arial" w:cs="Arial" w:eastAsia="Arial" w:hAnsi="Arial"/>
          <w:sz w:val="17"/>
          <w:szCs w:val="17"/>
          <w:u w:val="single" w:color="auto"/>
          <w:color w:val="auto"/>
        </w:rPr>
        <w:t>Section 12.2(i)</w:t>
      </w:r>
      <w:r>
        <w:rPr>
          <w:rFonts w:ascii="Arial" w:cs="Arial" w:eastAsia="Arial" w:hAnsi="Arial"/>
          <w:sz w:val="17"/>
          <w:szCs w:val="17"/>
          <w:color w:val="auto"/>
        </w:rPr>
        <w:t>.</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any Guaranty Agreement pursuant to this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Subsidiary Guarantor from its obligations under such Guaranty Agreement, in each case in accordance with the terms of the Loan Documents and this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In the case of any such sale, transfer or disposal of any property constituting Collateral in a transaction constituting an Asset Disposition permitted pursuant to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to a Person other than a Credit Party, the Liens created by any of the Security Documents on such property shall be automatically released without need for further action by any person. Notwithstanding anything to the contrary in this Agreement or in any other Loan Document, without the consent of the Required Lenders, no Credit Party shall be released from its obligations under the Loan Documents if such Credit Party ceases to be a Wholly Owned Subsidiary solely by virtue of a disposition or issuance of Equity Interests, unless (x) such disposition or issuance is a good faith disposition or issuance to a bona-fide unaffiliated third party whose primary purpose is not the release of the Guarantee and obligations of such Credit Party under the Loan Documents and (y) the Investment of the Credit Parties in such Subsidiary shall be deemed a de novo Investment as at that time and such Investment shall be permitted under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71" w:lineRule="exact"/>
        <w:rPr>
          <w:sz w:val="20"/>
          <w:szCs w:val="20"/>
          <w:color w:val="auto"/>
        </w:rPr>
      </w:pPr>
    </w:p>
    <w:p>
      <w:pPr>
        <w:ind w:right="40" w:firstLine="436"/>
        <w:spacing w:after="0" w:line="259" w:lineRule="auto"/>
        <w:tabs>
          <w:tab w:leader="none" w:pos="82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Secured Hedge Agreements and Secured Cash Management Agreements</w:t>
      </w:r>
      <w:r>
        <w:rPr>
          <w:rFonts w:ascii="Arial" w:cs="Arial" w:eastAsia="Arial" w:hAnsi="Arial"/>
          <w:sz w:val="18"/>
          <w:szCs w:val="18"/>
          <w:color w:val="auto"/>
        </w:rPr>
        <w:t xml:space="preserve">. No Cash Management Bank or Hedge Bank that obtains the benefits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any Collateral by virtue of the provisions hereof or of any Security Document shall have any right to notice of any action or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156" w:name="page157"/>
    <w:bookmarkEnd w:id="15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Guarantee or any Security Document, other than in its capacity as a Lender and, in such case, only to the extent expressly provided in the Loan Documents. Except as expressly provided in </w:t>
      </w:r>
      <w:r>
        <w:rPr>
          <w:rFonts w:ascii="Arial" w:cs="Arial" w:eastAsia="Arial" w:hAnsi="Arial"/>
          <w:sz w:val="17"/>
          <w:szCs w:val="17"/>
          <w:u w:val="single" w:color="auto"/>
          <w:color w:val="auto"/>
        </w:rPr>
        <w:t>Section 10.4</w:t>
      </w:r>
      <w:r>
        <w:rPr>
          <w:rFonts w:ascii="Arial" w:cs="Arial" w:eastAsia="Arial" w:hAnsi="Arial"/>
          <w:sz w:val="17"/>
          <w:szCs w:val="17"/>
          <w:color w:val="auto"/>
        </w:rPr>
        <w:t>, the Administrative Agent shall not be required to verify the payment of, or that other satisfactory arrangements have been made with respect to, Secured Cash Management Agreements and Secured Hedge Agreements.</w:t>
      </w:r>
    </w:p>
    <w:p>
      <w:pPr>
        <w:spacing w:after="0" w:line="284"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5"/>
          <w:szCs w:val="15"/>
          <w:u w:val="single" w:color="auto"/>
          <w:color w:val="auto"/>
        </w:rPr>
        <w:t>Erroneous Payments</w:t>
      </w:r>
      <w:r>
        <w:rPr>
          <w:rFonts w:ascii="Arial" w:cs="Arial" w:eastAsia="Arial" w:hAnsi="Arial"/>
          <w:sz w:val="15"/>
          <w:szCs w:val="15"/>
          <w:color w:val="auto"/>
        </w:rPr>
        <w:t>.</w:t>
      </w:r>
    </w:p>
    <w:p>
      <w:pPr>
        <w:spacing w:after="0" w:line="117" w:lineRule="exact"/>
        <w:rPr>
          <w:sz w:val="20"/>
          <w:szCs w:val="20"/>
          <w:color w:val="auto"/>
        </w:rPr>
      </w:pPr>
    </w:p>
    <w:p>
      <w:pPr>
        <w:ind w:firstLine="436"/>
        <w:spacing w:after="0" w:line="267" w:lineRule="auto"/>
        <w:tabs>
          <w:tab w:leader="none" w:pos="8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Each Lender, each Issuing Lender, each other Secured Party and any other party hereto hereby severally agrees that if (i) the Administrative Agent notifies (which such notice shall be conclusive absent manifest error) such Lender or Issuing Lender or any other Secured Party (or the Lender Affiliate of a Secured Party) or any other Person that has received funds from the Administrative Agent or any of its Affiliates, either for its own account or on behalf of a Lender, Issuing Lender or other Secured Party (each such recipient, a “</w:t>
      </w:r>
      <w:r>
        <w:rPr>
          <w:rFonts w:ascii="Arial" w:cs="Arial" w:eastAsia="Arial" w:hAnsi="Arial"/>
          <w:sz w:val="17"/>
          <w:szCs w:val="17"/>
          <w:u w:val="single" w:color="auto"/>
          <w:color w:val="auto"/>
        </w:rPr>
        <w:t>Payment Recipient</w:t>
      </w:r>
      <w:r>
        <w:rPr>
          <w:rFonts w:ascii="Arial" w:cs="Arial" w:eastAsia="Arial" w:hAnsi="Arial"/>
          <w:sz w:val="17"/>
          <w:szCs w:val="17"/>
          <w:color w:val="auto"/>
        </w:rPr>
        <w:t xml:space="preserve">”) that the Administrative Agent has determined in its reasonable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 an error in payment shall be presumed to have been made (any such amounts specified in clauses (i) or (ii) of this </w:t>
      </w:r>
      <w:r>
        <w:rPr>
          <w:rFonts w:ascii="Arial" w:cs="Arial" w:eastAsia="Arial" w:hAnsi="Arial"/>
          <w:sz w:val="17"/>
          <w:szCs w:val="17"/>
          <w:u w:val="single" w:color="auto"/>
          <w:color w:val="auto"/>
        </w:rPr>
        <w:t>Section 11.11(a),</w:t>
      </w:r>
      <w:r>
        <w:rPr>
          <w:rFonts w:ascii="Arial" w:cs="Arial" w:eastAsia="Arial" w:hAnsi="Arial"/>
          <w:sz w:val="17"/>
          <w:szCs w:val="17"/>
          <w:color w:val="auto"/>
        </w:rPr>
        <w:t xml:space="preserve"> whether received as a payment, prepayment or repayment of principal, interest, fees, distribution or otherwise; individually and collectively, an “</w:t>
      </w:r>
      <w:r>
        <w:rPr>
          <w:rFonts w:ascii="Arial" w:cs="Arial" w:eastAsia="Arial" w:hAnsi="Arial"/>
          <w:sz w:val="17"/>
          <w:szCs w:val="17"/>
          <w:u w:val="single" w:color="auto"/>
          <w:color w:val="auto"/>
        </w:rPr>
        <w:t>Erroneous Payment</w:t>
      </w:r>
      <w:r>
        <w:rPr>
          <w:rFonts w:ascii="Arial" w:cs="Arial" w:eastAsia="Arial" w:hAnsi="Arial"/>
          <w:sz w:val="17"/>
          <w:szCs w:val="17"/>
          <w:color w:val="auto"/>
        </w:rPr>
        <w:t xml:space="preserve">”), and (B) such Payment Recipient is deemed to have knowledge of such error at the time of its receipt of such Erroneous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89" w:lineRule="exact"/>
        <w:rPr>
          <w:rFonts w:ascii="Arial" w:cs="Arial" w:eastAsia="Arial" w:hAnsi="Arial"/>
          <w:sz w:val="17"/>
          <w:szCs w:val="17"/>
          <w:color w:val="auto"/>
        </w:rPr>
      </w:pPr>
    </w:p>
    <w:p>
      <w:pPr>
        <w:ind w:right="580" w:firstLine="436"/>
        <w:spacing w:after="0" w:line="277" w:lineRule="auto"/>
        <w:tabs>
          <w:tab w:leader="none" w:pos="82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Without limiting the immediately preceding clause (a), each Payment Recipient agrees that, in the case of clause (a)(ii) above, it shall promptly notify the Administrative Agent in writing of such occurrence.</w:t>
      </w:r>
    </w:p>
    <w:p>
      <w:pPr>
        <w:spacing w:after="0" w:line="170" w:lineRule="exact"/>
        <w:rPr>
          <w:rFonts w:ascii="Arial" w:cs="Arial" w:eastAsia="Arial" w:hAnsi="Arial"/>
          <w:sz w:val="18"/>
          <w:szCs w:val="18"/>
          <w:color w:val="auto"/>
        </w:rPr>
      </w:pPr>
    </w:p>
    <w:p>
      <w:pPr>
        <w:ind w:right="100" w:firstLine="436"/>
        <w:spacing w:after="0" w:line="271" w:lineRule="auto"/>
        <w:tabs>
          <w:tab w:leader="none" w:pos="8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and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at the Overnight Rate.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0"/>
          </w:cols>
          <w:pgMar w:left="440" w:top="274" w:right="459" w:bottom="1440" w:gutter="0" w:footer="0" w:header="0"/>
        </w:sectPr>
      </w:pPr>
    </w:p>
    <w:bookmarkStart w:id="157" w:name="page158"/>
    <w:bookmarkEnd w:id="157"/>
    <w:p>
      <w:pPr>
        <w:ind w:left="-20" w:right="20" w:firstLine="436"/>
        <w:spacing w:after="0" w:line="267" w:lineRule="auto"/>
        <w:tabs>
          <w:tab w:leader="none" w:pos="810" w:val="left"/>
        </w:tabs>
        <w:numPr>
          <w:ilvl w:val="0"/>
          <w:numId w:val="2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Arial" w:cs="Arial" w:eastAsia="Arial" w:hAnsi="Arial"/>
          <w:sz w:val="17"/>
          <w:szCs w:val="17"/>
          <w:u w:val="single" w:color="auto"/>
          <w:color w:val="auto"/>
        </w:rPr>
        <w:t>Erroneous Payment Return Deficiency</w:t>
      </w:r>
      <w:r>
        <w:rPr>
          <w:rFonts w:ascii="Arial" w:cs="Arial" w:eastAsia="Arial" w:hAnsi="Arial"/>
          <w:sz w:val="17"/>
          <w:szCs w:val="17"/>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Arial" w:cs="Arial" w:eastAsia="Arial" w:hAnsi="Arial"/>
          <w:sz w:val="17"/>
          <w:szCs w:val="17"/>
          <w:u w:val="single" w:color="auto"/>
          <w:color w:val="auto"/>
        </w:rPr>
        <w:t>Erroneous Payment Impacted Class</w:t>
      </w:r>
      <w:r>
        <w:rPr>
          <w:rFonts w:ascii="Arial" w:cs="Arial" w:eastAsia="Arial" w:hAnsi="Arial"/>
          <w:sz w:val="17"/>
          <w:szCs w:val="17"/>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7"/>
          <w:szCs w:val="17"/>
          <w:u w:val="single" w:color="auto"/>
          <w:color w:val="auto"/>
        </w:rPr>
        <w:t>Erroneous</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 Deficiency Assignment</w:t>
      </w:r>
      <w:r>
        <w:rPr>
          <w:rFonts w:ascii="Arial" w:cs="Arial" w:eastAsia="Arial" w:hAnsi="Arial"/>
          <w:sz w:val="17"/>
          <w:szCs w:val="17"/>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and (3) the Administrative Agent may reflect such assignments in the Register without further consent or action by any other Person.</w:t>
      </w:r>
    </w:p>
    <w:p>
      <w:pPr>
        <w:spacing w:after="0" w:line="191" w:lineRule="exact"/>
        <w:rPr>
          <w:rFonts w:ascii="Arial" w:cs="Arial" w:eastAsia="Arial" w:hAnsi="Arial"/>
          <w:sz w:val="17"/>
          <w:szCs w:val="17"/>
          <w:color w:val="auto"/>
        </w:rPr>
      </w:pPr>
    </w:p>
    <w:p>
      <w:pPr>
        <w:ind w:left="-20" w:firstLine="436"/>
        <w:spacing w:after="0" w:line="269" w:lineRule="auto"/>
        <w:tabs>
          <w:tab w:leader="none" w:pos="8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Credit Party, except, in each case, to the extent such Erroneous Payment is, and solely with respect to the amount of such Erroneous Payment that is, comprised of funds received by the Administrative Agent from the Borrowers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78" w:lineRule="exact"/>
        <w:rPr>
          <w:rFonts w:ascii="Arial" w:cs="Arial" w:eastAsia="Arial" w:hAnsi="Arial"/>
          <w:sz w:val="17"/>
          <w:szCs w:val="17"/>
          <w:color w:val="auto"/>
        </w:rPr>
      </w:pPr>
    </w:p>
    <w:p>
      <w:pPr>
        <w:ind w:left="-20" w:right="120" w:firstLine="436"/>
        <w:spacing w:after="0" w:line="263" w:lineRule="auto"/>
        <w:tabs>
          <w:tab w:leader="none" w:pos="7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83" w:lineRule="exact"/>
        <w:rPr>
          <w:rFonts w:ascii="Arial" w:cs="Arial" w:eastAsia="Arial" w:hAnsi="Arial"/>
          <w:sz w:val="18"/>
          <w:szCs w:val="18"/>
          <w:color w:val="auto"/>
        </w:rPr>
      </w:pPr>
    </w:p>
    <w:p>
      <w:pPr>
        <w:ind w:left="-20" w:right="200" w:firstLine="436"/>
        <w:spacing w:after="0" w:line="277" w:lineRule="auto"/>
        <w:tabs>
          <w:tab w:leader="none" w:pos="81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will constitute a waiver or release of any claim of any party hereunder arising from any Payment Recipient’s receipt of an Erroneous Payment.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60"/>
          </w:cols>
          <w:pgMar w:left="460" w:top="274" w:right="479" w:bottom="1440" w:gutter="0" w:footer="0" w:header="0"/>
        </w:sectPr>
      </w:pPr>
    </w:p>
    <w:bookmarkStart w:id="158" w:name="page159"/>
    <w:bookmarkEnd w:id="158"/>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4"/>
        <w:spacing w:after="0"/>
        <w:tabs>
          <w:tab w:leader="none" w:pos="1283"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left="-436" w:firstLine="436"/>
        <w:spacing w:after="0" w:line="263" w:lineRule="auto"/>
        <w:tabs>
          <w:tab w:leader="none" w:pos="384"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84"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If to the Borrowers:</w:t>
      </w:r>
    </w:p>
    <w:p>
      <w:pPr>
        <w:spacing w:after="0" w:line="225"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Centuri Group, Inc.</w:t>
      </w:r>
    </w:p>
    <w:p>
      <w:pPr>
        <w:spacing w:after="0" w:line="22"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19820 North 7</w:t>
      </w:r>
      <w:r>
        <w:rPr>
          <w:rFonts w:ascii="Arial" w:cs="Arial" w:eastAsia="Arial" w:hAnsi="Arial"/>
          <w:sz w:val="15"/>
          <w:szCs w:val="15"/>
          <w:color w:val="auto"/>
        </w:rPr>
        <w:t>th</w:t>
      </w:r>
      <w:r>
        <w:rPr>
          <w:rFonts w:ascii="Arial" w:cs="Arial" w:eastAsia="Arial" w:hAnsi="Arial"/>
          <w:sz w:val="18"/>
          <w:szCs w:val="18"/>
          <w:color w:val="auto"/>
        </w:rPr>
        <w:t xml:space="preserve"> Avenue, #120</w:t>
      </w:r>
    </w:p>
    <w:p>
      <w:pPr>
        <w:spacing w:after="0" w:line="10"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Phoenix, Arizona 85027</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Attention of: Jason Wilcock, Executive Vice President/General Counsel and Corporate Secretary</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Telephone No.: (623) 582-1235</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Facsimile No.: (623) 582-6853</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E-mail: jwilcock@NextCenturi.com</w:t>
      </w:r>
    </w:p>
    <w:p>
      <w:pPr>
        <w:spacing w:after="0" w:line="211"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Southwest Gas Holdings, Inc.</w:t>
      </w:r>
    </w:p>
    <w:p>
      <w:pPr>
        <w:spacing w:after="0" w:line="23"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5241 Spring Mountain Road</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Las Vegas, NV 89150</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Attention of: Karen S. Haller, General Counsel</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Telephone No.: (702) 364-3191</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Facsimile No.: (702) 364-3452</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E-mail: karen.haller@swgas.com</w:t>
      </w:r>
    </w:p>
    <w:p>
      <w:pPr>
        <w:spacing w:after="0" w:line="211"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Foley &amp; Lardner LLP</w:t>
      </w:r>
    </w:p>
    <w:p>
      <w:pPr>
        <w:spacing w:after="0" w:line="23"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777 East Wisconsin Avenue</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Milwaukee, WI 53202-5306</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Attention of: Heidi M. Furlong</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Telephone No.: (414) 297-5620</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Facsimile: (414) 297-4900</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E-mail: HFurlong@foley.com</w:t>
      </w:r>
    </w:p>
    <w:p>
      <w:pPr>
        <w:spacing w:after="0" w:line="211"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If to Wells Fargo as</w:t>
      </w:r>
    </w:p>
    <w:p>
      <w:pPr>
        <w:spacing w:after="0" w:line="23"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MAC D1109-019</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1525 West W.T. Harris Blvd.</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Charlotte, NC 28262</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Attention of: Syndication Agency Services</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Telephone No.: (704) 590-2703</w:t>
      </w:r>
    </w:p>
    <w:p>
      <w:pPr>
        <w:spacing w:after="0" w:line="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Facsimile No.: (704) 715-0092</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124"/>
          </w:cols>
          <w:pgMar w:left="876" w:top="274" w:right="899" w:bottom="1440" w:gutter="0" w:footer="0" w:header="0"/>
        </w:sectPr>
      </w:pPr>
    </w:p>
    <w:bookmarkStart w:id="159" w:name="page160"/>
    <w:bookmarkEnd w:id="159"/>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copies to:</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100 W. Washington Street, 25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Phoenix, AZ 85003</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MAC S4101-251</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of: Aaron Lemke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Telephone No.: (602) 378-6629</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Facsimile No.: (602) 378-1360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 aaron.k.lemke@wellsfargo.com</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If to any Lender:</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 the address of such Lender set forth on the Register</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71" w:lineRule="exact"/>
        <w:rPr>
          <w:sz w:val="20"/>
          <w:szCs w:val="20"/>
          <w:color w:val="auto"/>
        </w:rPr>
      </w:pPr>
    </w:p>
    <w:p>
      <w:pPr>
        <w:ind w:right="40" w:firstLine="436"/>
        <w:spacing w:after="0" w:line="268" w:lineRule="auto"/>
        <w:tabs>
          <w:tab w:leader="none" w:pos="83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any Issuing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if such Lender or such Issuing Lender, as applicable, has notified the Administrative Agent that is incapable of receiving notices under such Article by electronic communication. The Administrative Agent or a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86" w:lineRule="exact"/>
        <w:rPr>
          <w:rFonts w:ascii="Arial" w:cs="Arial" w:eastAsia="Arial" w:hAnsi="Arial"/>
          <w:sz w:val="17"/>
          <w:szCs w:val="17"/>
          <w:color w:val="auto"/>
        </w:rPr>
      </w:pPr>
    </w:p>
    <w:p>
      <w:pPr>
        <w:ind w:right="460" w:firstLine="436"/>
        <w:spacing w:after="0" w:line="311" w:lineRule="auto"/>
        <w:tabs>
          <w:tab w:leader="none" w:pos="820"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Administrative Agent’s Office</w:t>
      </w:r>
      <w:r>
        <w:rPr>
          <w:rFonts w:ascii="Arial" w:cs="Arial" w:eastAsia="Arial" w:hAnsi="Arial"/>
          <w:sz w:val="16"/>
          <w:szCs w:val="16"/>
          <w:color w:val="auto"/>
        </w:rPr>
        <w:t>. The Administrative Agent hereby designates its office located at the address set forth above, or any subsequent office which shall have been specified for such purpose by written notice to Centuri and Lenders, as the Administrative Agent’s Office referred to herein, to which payments due are to be made and at which Loans will be disbursed and Letters of Credit requested.</w:t>
      </w:r>
    </w:p>
    <w:p>
      <w:pPr>
        <w:spacing w:after="0" w:line="148" w:lineRule="exact"/>
        <w:rPr>
          <w:rFonts w:ascii="Arial" w:cs="Arial" w:eastAsia="Arial" w:hAnsi="Arial"/>
          <w:sz w:val="16"/>
          <w:szCs w:val="16"/>
          <w:color w:val="auto"/>
        </w:rPr>
      </w:pPr>
    </w:p>
    <w:p>
      <w:pPr>
        <w:ind w:right="420" w:firstLine="436"/>
        <w:spacing w:after="0" w:line="277" w:lineRule="auto"/>
        <w:tabs>
          <w:tab w:leader="none" w:pos="83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Each of the Borrowers, the Administrative Agent, any Issuing Lender or any Swingline Lender may change its address or facsimile number for notices and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40" w:top="274" w:right="459" w:bottom="1440" w:gutter="0" w:footer="0" w:header="0"/>
        </w:sectPr>
      </w:pPr>
    </w:p>
    <w:bookmarkStart w:id="160" w:name="page161"/>
    <w:bookmarkEnd w:id="160"/>
    <w:p>
      <w:pPr>
        <w:ind w:right="7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communications hereunder by notice to the other parties hereto. Any Lender may change its address or facsimile number for notices and other communications hereunder by notice to Centuri, the Administrative Agent, each Issuing Lender and each Swingline Lender.</w:t>
      </w:r>
    </w:p>
    <w:p>
      <w:pPr>
        <w:spacing w:after="0" w:line="254" w:lineRule="exact"/>
        <w:rPr>
          <w:sz w:val="20"/>
          <w:szCs w:val="20"/>
          <w:color w:val="auto"/>
        </w:rPr>
      </w:pPr>
    </w:p>
    <w:p>
      <w:pPr>
        <w:ind w:left="820" w:hanging="384"/>
        <w:spacing w:after="0"/>
        <w:tabs>
          <w:tab w:leader="none" w:pos="82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213"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Each Credit Party agrees that the Administrative Agent may, but shall not be obligated to, make the Borrower Materials available to the Issuing Lenders and the other Lenders by posting the Borrower Materials on the Platform.</w:t>
      </w:r>
    </w:p>
    <w:p>
      <w:pPr>
        <w:spacing w:after="0" w:line="62" w:lineRule="exact"/>
        <w:rPr>
          <w:rFonts w:ascii="Arial" w:cs="Arial" w:eastAsia="Arial" w:hAnsi="Arial"/>
          <w:sz w:val="18"/>
          <w:szCs w:val="18"/>
          <w:color w:val="auto"/>
        </w:rPr>
      </w:pPr>
    </w:p>
    <w:p>
      <w:pPr>
        <w:ind w:left="440" w:right="40" w:firstLine="419"/>
        <w:spacing w:after="0" w:line="287" w:lineRule="auto"/>
        <w:tabs>
          <w:tab w:leader="none" w:pos="1259"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Agent Party have any liability to any Credit Party, any Lender, the Issuing Lender or any other Person for indirect, special, incidental, consequential or punitive damages, losses or expenses (as opposed to actual damages, losses or expenses).</w:t>
      </w:r>
    </w:p>
    <w:p>
      <w:pPr>
        <w:spacing w:after="0" w:line="171" w:lineRule="exact"/>
        <w:rPr>
          <w:rFonts w:ascii="Arial" w:cs="Arial" w:eastAsia="Arial" w:hAnsi="Arial"/>
          <w:sz w:val="16"/>
          <w:szCs w:val="16"/>
          <w:color w:val="auto"/>
        </w:rPr>
      </w:pPr>
    </w:p>
    <w:p>
      <w:pPr>
        <w:ind w:right="20" w:firstLine="436"/>
        <w:spacing w:after="0" w:line="255" w:lineRule="auto"/>
        <w:tabs>
          <w:tab w:leader="none" w:pos="80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Private Side Designation</w:t>
      </w:r>
      <w:r>
        <w:rPr>
          <w:rFonts w:ascii="Arial" w:cs="Arial" w:eastAsia="Arial" w:hAnsi="Arial"/>
          <w:sz w:val="18"/>
          <w:szCs w:val="18"/>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Borrowers or their respective securities for purposes of United States Federal or state securities Applicable Laws.</w:t>
      </w:r>
    </w:p>
    <w:p>
      <w:pPr>
        <w:spacing w:after="0" w:line="192"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u w:val="single" w:color="auto"/>
          <w:color w:val="auto"/>
        </w:rPr>
        <w:t>Amendments, Waivers and Consents</w:t>
      </w:r>
      <w:r>
        <w:rPr>
          <w:rFonts w:ascii="Arial" w:cs="Arial" w:eastAsia="Arial" w:hAnsi="Arial"/>
          <w:sz w:val="17"/>
          <w:szCs w:val="17"/>
          <w:color w:val="auto"/>
        </w:rPr>
        <w:t xml:space="preserve">.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signed by the Required Lenders (or in the case of any amendment which directly affects only one Class under the Credit Facility, the Required Facility Lenders, and not the Required Lenders or the Required Facility Lenders, as applicable) (or by the Administrative Agent with the consent of the Required Lenders) and delivered to the Administrative Agent and, in the case of an amendment, signed by the Borrowers; </w:t>
      </w:r>
      <w:r>
        <w:rPr>
          <w:rFonts w:ascii="Arial" w:cs="Arial" w:eastAsia="Arial" w:hAnsi="Arial"/>
          <w:sz w:val="17"/>
          <w:szCs w:val="17"/>
          <w:u w:val="single" w:color="auto"/>
          <w:color w:val="auto"/>
        </w:rPr>
        <w:t>provided</w:t>
      </w:r>
      <w:r>
        <w:rPr>
          <w:rFonts w:ascii="Arial" w:cs="Arial" w:eastAsia="Arial" w:hAnsi="Arial"/>
          <w:sz w:val="17"/>
          <w:szCs w:val="17"/>
          <w:color w:val="auto"/>
        </w:rPr>
        <w:t>, that no amendment, waiver or consent shall:</w:t>
      </w:r>
    </w:p>
    <w:p>
      <w:pPr>
        <w:spacing w:after="0" w:line="178" w:lineRule="exact"/>
        <w:rPr>
          <w:sz w:val="20"/>
          <w:szCs w:val="20"/>
          <w:color w:val="auto"/>
        </w:rPr>
      </w:pPr>
    </w:p>
    <w:p>
      <w:pPr>
        <w:ind w:firstLine="436"/>
        <w:spacing w:after="0" w:line="263" w:lineRule="auto"/>
        <w:tabs>
          <w:tab w:leader="none" w:pos="8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Required Revolving Credit Lenders, amend, modify or waive (i)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 other provision of this Agreement if the effect of such amendment, modification or waiver is to require the Revolving Credit Lenders (pursuant to, in the case of any such amendment to a provision hereof other than </w:t>
      </w:r>
      <w:r>
        <w:rPr>
          <w:rFonts w:ascii="Arial" w:cs="Arial" w:eastAsia="Arial" w:hAnsi="Arial"/>
          <w:sz w:val="18"/>
          <w:szCs w:val="18"/>
          <w:u w:val="single" w:color="auto"/>
          <w:color w:val="auto"/>
        </w:rPr>
        <w:t>Section 6.2</w:t>
      </w:r>
      <w:r>
        <w:rPr>
          <w:rFonts w:ascii="Arial" w:cs="Arial" w:eastAsia="Arial" w:hAnsi="Arial"/>
          <w:sz w:val="18"/>
          <w:szCs w:val="18"/>
          <w:color w:val="auto"/>
        </w:rPr>
        <w:t>, any substantially concurrent request by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00"/>
          </w:cols>
          <w:pgMar w:left="440" w:top="274" w:right="459" w:bottom="1440" w:gutter="0" w:footer="0" w:header="0"/>
        </w:sectPr>
      </w:pPr>
    </w:p>
    <w:bookmarkStart w:id="161" w:name="page162"/>
    <w:bookmarkEnd w:id="161"/>
    <w:p>
      <w:pPr>
        <w:ind w:right="3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for a borrowing of Revolving Credit Loans or issuance of Letters of Credit) to make Revolving Credit Loans when such Revolving Credit Lenders would not otherwise be required to do so, (ii) the amount of the Swingline Commitment or (iii) the amount of the L/C Sublimit;</w:t>
      </w:r>
    </w:p>
    <w:p>
      <w:pPr>
        <w:spacing w:after="0" w:line="146" w:lineRule="exact"/>
        <w:rPr>
          <w:sz w:val="20"/>
          <w:szCs w:val="20"/>
          <w:color w:val="auto"/>
        </w:rPr>
      </w:pPr>
    </w:p>
    <w:p>
      <w:pPr>
        <w:ind w:right="180" w:firstLine="436"/>
        <w:spacing w:after="0" w:line="277" w:lineRule="auto"/>
        <w:tabs>
          <w:tab w:leader="none" w:pos="83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increase the Commitment of any Lender (or reinstate any Commitment terminated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or the amount of Loans of any Lender, in any case, without the written consent of such Lender;</w:t>
      </w:r>
    </w:p>
    <w:p>
      <w:pPr>
        <w:spacing w:after="0" w:line="170" w:lineRule="exact"/>
        <w:rPr>
          <w:rFonts w:ascii="Arial" w:cs="Arial" w:eastAsia="Arial" w:hAnsi="Arial"/>
          <w:sz w:val="18"/>
          <w:szCs w:val="18"/>
          <w:color w:val="auto"/>
        </w:rPr>
      </w:pPr>
    </w:p>
    <w:p>
      <w:pPr>
        <w:ind w:right="40" w:firstLine="436"/>
        <w:spacing w:after="0" w:line="257" w:lineRule="auto"/>
        <w:tabs>
          <w:tab w:leader="none" w:pos="8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waive, extend or postpone any date fixed by this Agreement or any other Loan Document for any payment or prepayment of principal (it being understood that a waiver of a mandatory prepayment under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shall only require the consent of the Required Term Loan Lenders), interest, fees or other amounts due to the Lenders (or any of them) hereunder or under any other Loan Document without the written consent of each Lender directly and adversely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waiver of a mandatory prepayment under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shall only require the consent of Required Lenders);</w:t>
      </w:r>
    </w:p>
    <w:p>
      <w:pPr>
        <w:spacing w:after="0" w:line="187" w:lineRule="exact"/>
        <w:rPr>
          <w:rFonts w:ascii="Arial" w:cs="Arial" w:eastAsia="Arial" w:hAnsi="Arial"/>
          <w:sz w:val="18"/>
          <w:szCs w:val="18"/>
          <w:color w:val="auto"/>
        </w:rPr>
      </w:pPr>
    </w:p>
    <w:p>
      <w:pPr>
        <w:ind w:firstLine="436"/>
        <w:spacing w:after="0" w:line="255" w:lineRule="auto"/>
        <w:tabs>
          <w:tab w:leader="none" w:pos="83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Reimbursement Obligation, or (subject to clause (iv) of the proviso set forth in the paragraph below) any fees or other amounts payable hereunder or under any other Loan Document without the written consent of each Lender directly and adversely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(i) to waive any obligation of the Borrowers to pay interest at the rate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during the continuance of an Event of Default or (ii) to amend any financial covenant hereunder (or any defined term used therein) even if the effect of such amendment would be to reduce the rate of interest on any Loan or L/C Obligation or to reduce any fee payable hereunder;</w:t>
      </w:r>
    </w:p>
    <w:p>
      <w:pPr>
        <w:spacing w:after="0" w:line="192" w:lineRule="exact"/>
        <w:rPr>
          <w:rFonts w:ascii="Arial" w:cs="Arial" w:eastAsia="Arial" w:hAnsi="Arial"/>
          <w:sz w:val="18"/>
          <w:szCs w:val="18"/>
          <w:color w:val="auto"/>
        </w:rPr>
      </w:pPr>
    </w:p>
    <w:p>
      <w:pPr>
        <w:ind w:right="360" w:firstLine="436"/>
        <w:spacing w:after="0" w:line="277" w:lineRule="auto"/>
        <w:tabs>
          <w:tab w:leader="none" w:pos="8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in a manner that would alter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sharing of payments or order of application required thereby without the written consent of each Lender directly and adversely affected thereby;</w:t>
      </w:r>
    </w:p>
    <w:p>
      <w:pPr>
        <w:spacing w:after="0" w:line="170" w:lineRule="exact"/>
        <w:rPr>
          <w:rFonts w:ascii="Arial" w:cs="Arial" w:eastAsia="Arial" w:hAnsi="Arial"/>
          <w:sz w:val="18"/>
          <w:szCs w:val="18"/>
          <w:color w:val="auto"/>
        </w:rPr>
      </w:pPr>
    </w:p>
    <w:p>
      <w:pPr>
        <w:ind w:right="560" w:firstLine="436"/>
        <w:spacing w:after="0" w:line="277" w:lineRule="auto"/>
        <w:tabs>
          <w:tab w:leader="none" w:pos="8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4.4(b)(v)</w:t>
      </w:r>
      <w:r>
        <w:rPr>
          <w:rFonts w:ascii="Arial" w:cs="Arial" w:eastAsia="Arial" w:hAnsi="Arial"/>
          <w:sz w:val="18"/>
          <w:szCs w:val="18"/>
          <w:color w:val="auto"/>
        </w:rPr>
        <w:t xml:space="preserve"> in a manner that would alter the order of application of amounts prepaid pursuant thereto without the written consent of each Lender directly and adversely affected thereby;</w:t>
      </w:r>
    </w:p>
    <w:p>
      <w:pPr>
        <w:spacing w:after="0" w:line="170" w:lineRule="exact"/>
        <w:rPr>
          <w:rFonts w:ascii="Arial" w:cs="Arial" w:eastAsia="Arial" w:hAnsi="Arial"/>
          <w:sz w:val="18"/>
          <w:szCs w:val="18"/>
          <w:color w:val="auto"/>
        </w:rPr>
      </w:pPr>
    </w:p>
    <w:p>
      <w:pPr>
        <w:ind w:right="60" w:firstLine="436"/>
        <w:spacing w:after="0" w:line="279" w:lineRule="auto"/>
        <w:tabs>
          <w:tab w:leader="none" w:pos="83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except as otherwise permitted by this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change any provision of this Section or reduce the percentages specified in the definitions of “Required Lenders,” “Required Revolving Credit Lenders”, “Required Facility Lenders” or “Required Term Loan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171" w:lineRule="exact"/>
        <w:rPr>
          <w:rFonts w:ascii="Arial" w:cs="Arial" w:eastAsia="Arial" w:hAnsi="Arial"/>
          <w:sz w:val="17"/>
          <w:szCs w:val="17"/>
          <w:color w:val="auto"/>
        </w:rPr>
      </w:pPr>
    </w:p>
    <w:p>
      <w:pPr>
        <w:ind w:right="280" w:firstLine="436"/>
        <w:spacing w:after="0" w:line="277" w:lineRule="auto"/>
        <w:tabs>
          <w:tab w:leader="none" w:pos="83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any Class to assign any of its rights or obligations hereunder without the written consent of the Required Facility Lenders under such Class;</w:t>
      </w:r>
    </w:p>
    <w:p>
      <w:pPr>
        <w:spacing w:after="0" w:line="170" w:lineRule="exact"/>
        <w:rPr>
          <w:rFonts w:ascii="Arial" w:cs="Arial" w:eastAsia="Arial" w:hAnsi="Arial"/>
          <w:sz w:val="18"/>
          <w:szCs w:val="18"/>
          <w:color w:val="auto"/>
        </w:rPr>
      </w:pPr>
    </w:p>
    <w:p>
      <w:pPr>
        <w:ind w:right="120" w:firstLine="436"/>
        <w:spacing w:after="0" w:line="277" w:lineRule="auto"/>
        <w:tabs>
          <w:tab w:leader="none" w:pos="79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consent to the assignment or transfer by any Credit Party of such Credit Party’s rights and obligations under any Loan Document to which it is a party (except as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in each case, without the written consent of each Lender;</w:t>
      </w:r>
    </w:p>
    <w:p>
      <w:pPr>
        <w:spacing w:after="0" w:line="170" w:lineRule="exact"/>
        <w:rPr>
          <w:rFonts w:ascii="Arial" w:cs="Arial" w:eastAsia="Arial" w:hAnsi="Arial"/>
          <w:sz w:val="18"/>
          <w:szCs w:val="18"/>
          <w:color w:val="auto"/>
        </w:rPr>
      </w:pPr>
    </w:p>
    <w:p>
      <w:pPr>
        <w:ind w:right="100" w:firstLine="436"/>
        <w:spacing w:after="0" w:line="342" w:lineRule="auto"/>
        <w:tabs>
          <w:tab w:leader="none" w:pos="79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release (i) all of the Subsidiary Guarantors or (ii) Subsidiary Guarantors comprising all or substantially all of the credit support for the Secured Obligations, in any case, from any Guaranty Agreement (other than as authorized in </w:t>
      </w:r>
      <w:r>
        <w:rPr>
          <w:rFonts w:ascii="Arial" w:cs="Arial" w:eastAsia="Arial" w:hAnsi="Arial"/>
          <w:sz w:val="16"/>
          <w:szCs w:val="16"/>
          <w:u w:val="single" w:color="auto"/>
          <w:color w:val="auto"/>
        </w:rPr>
        <w:t>Section 11.9</w:t>
      </w:r>
      <w:r>
        <w:rPr>
          <w:rFonts w:ascii="Arial" w:cs="Arial" w:eastAsia="Arial" w:hAnsi="Arial"/>
          <w:sz w:val="16"/>
          <w:szCs w:val="16"/>
          <w:color w:val="auto"/>
        </w:rPr>
        <w:t>), without the written consent of each Lender;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274" w:right="459" w:bottom="1440" w:gutter="0" w:footer="0" w:header="0"/>
        </w:sectPr>
      </w:pPr>
    </w:p>
    <w:bookmarkStart w:id="162" w:name="page163"/>
    <w:bookmarkEnd w:id="162"/>
    <w:p>
      <w:pPr>
        <w:ind w:right="100" w:firstLine="436"/>
        <w:spacing w:after="0" w:line="263" w:lineRule="auto"/>
        <w:tabs>
          <w:tab w:leader="none" w:pos="830"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release or subordinate all or substantially all of the Collateral or release or subordinate any Security Document (or any Lien created thereby) (other than as authorized in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11.9(a)(i)(C)</w:t>
      </w:r>
      <w:r>
        <w:rPr>
          <w:rFonts w:ascii="Arial" w:cs="Arial" w:eastAsia="Arial" w:hAnsi="Arial"/>
          <w:sz w:val="18"/>
          <w:szCs w:val="18"/>
          <w:color w:val="auto"/>
        </w:rPr>
        <w:t>) or as otherwise specifically permitted or contemplated in this Agreement or the applicable Security Document) without the written consent of each Lender;</w:t>
      </w:r>
    </w:p>
    <w:p>
      <w:pPr>
        <w:spacing w:after="0" w:line="183" w:lineRule="exact"/>
        <w:rPr>
          <w:rFonts w:ascii="Arial" w:cs="Arial" w:eastAsia="Arial" w:hAnsi="Arial"/>
          <w:sz w:val="18"/>
          <w:szCs w:val="18"/>
          <w:color w:val="auto"/>
        </w:rPr>
      </w:pPr>
    </w:p>
    <w:p>
      <w:pPr>
        <w:ind w:right="60" w:firstLine="436"/>
        <w:spacing w:after="0" w:line="311" w:lineRule="auto"/>
        <w:tabs>
          <w:tab w:leader="none" w:pos="79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amend, waive or otherwise modify any provision of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(or any defined terms used therein, but only for purposes of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and not for any other purposes, including, without limitation, any pro forma compliance or incurrence tests) or waive any Event of Default resulting from a breach of the financial covenants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in each case without the written consent of the Required Revolving Credit Lenders; or</w:t>
      </w:r>
    </w:p>
    <w:p>
      <w:pPr>
        <w:spacing w:after="0" w:line="148" w:lineRule="exact"/>
        <w:rPr>
          <w:rFonts w:ascii="Arial" w:cs="Arial" w:eastAsia="Arial" w:hAnsi="Arial"/>
          <w:sz w:val="16"/>
          <w:szCs w:val="16"/>
          <w:color w:val="auto"/>
        </w:rPr>
      </w:pPr>
    </w:p>
    <w:p>
      <w:pPr>
        <w:ind w:right="180" w:firstLine="436"/>
        <w:spacing w:after="0" w:line="308" w:lineRule="auto"/>
        <w:tabs>
          <w:tab w:leader="none" w:pos="8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subordinate any of the Obligations owed to the Lenders under a particular Credit Facility in right of payment or otherwise adversely affect the priority of payment of any of such Obligations without the consent of each Lender directly and adversely affected thereby;</w:t>
      </w:r>
    </w:p>
    <w:p>
      <w:pPr>
        <w:spacing w:after="0" w:line="146"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no amendment, waiver or consent shall, unless in writing and signed by each affected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applicable Swingline Lender in addition to the Lenders required above, affect the rights or duties of such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each Fee Letter may be amended, or rights or privileges thereunder waived, in a writing executed only by the parties thereto, (v)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Borrowers and the requisite percentage in interest of the affected Class of Lenders that would be required to consent thereto under this Section if such Class of Lenders were the only Class of Lenders hereunder at the time, (vi) each Letter of Credit Application may be amended, or rights or privileges thereunder waived, in a writing executed only by the parties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copy of such amended Letter of Credit Application shall be promptly delivered to the Administrative Agent upon such amendment or waiver, (vii) the Administrative Agent and the Borrowers shall be permitted to amend any provision of the Loan Documents (and such amendment shall become effective without any further action or consent of any other party to any Loan Document) if the Administrative Agent and the Borrowers shall have jointly identified an obvious error or any error, ambiguity, defect or inconsistency, or omission of a technical or immaterial nature in any such provision; (viii) the Administrative Agent (and, if applicable, the Borrowers) may, without the consent of any Lender, enter into amendments or modifications to this Agreement or any of the other Loan Documents or to enter into additional Loan Documents in order to implement any Benchmark Replacement or any Benchmark Replacement Conforming Changes or otherwise effectuate the terms of </w:t>
      </w:r>
      <w:r>
        <w:rPr>
          <w:rFonts w:ascii="Arial" w:cs="Arial" w:eastAsia="Arial" w:hAnsi="Arial"/>
          <w:sz w:val="16"/>
          <w:szCs w:val="16"/>
          <w:u w:val="single" w:color="auto"/>
          <w:color w:val="auto"/>
        </w:rPr>
        <w:t>Section 5.8(c)</w:t>
      </w:r>
      <w:r>
        <w:rPr>
          <w:rFonts w:ascii="Arial" w:cs="Arial" w:eastAsia="Arial" w:hAnsi="Arial"/>
          <w:sz w:val="16"/>
          <w:szCs w:val="16"/>
          <w:color w:val="auto"/>
        </w:rPr>
        <w:t xml:space="preserve"> in accordance with the terms of </w:t>
      </w:r>
      <w:r>
        <w:rPr>
          <w:rFonts w:ascii="Arial" w:cs="Arial" w:eastAsia="Arial" w:hAnsi="Arial"/>
          <w:sz w:val="16"/>
          <w:szCs w:val="16"/>
          <w:u w:val="single" w:color="auto"/>
          <w:color w:val="auto"/>
        </w:rPr>
        <w:t>Section 5.8(c)</w:t>
      </w:r>
      <w:r>
        <w:rPr>
          <w:rFonts w:ascii="Arial" w:cs="Arial" w:eastAsia="Arial" w:hAnsi="Arial"/>
          <w:sz w:val="16"/>
          <w:szCs w:val="16"/>
          <w:color w:val="auto"/>
        </w:rPr>
        <w:t xml:space="preserve">; and (ix) the Required Revolving Credit Lenders may (x) amend or otherwise modify the financial covenants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or, solely for purposes of such financial covenants, the defined terms used, directly or indirectly, therein, or (y) waive any noncompliance with the financial covenants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or any Event of Default resulting from any such noncompliance, in each case without the consent of any other Lenders. Notwithstanding anything to the contrary herein, no Defaulting Lender shall have any right to approve or disapprove any amendment, waiver or consent hereunder, except that (A) the Revolving Credit Commitment of such Lender may not be increased or extended without the consent of such Lender, and (B) any amendment, waiver or consent hereunder which requires the consent of all Lenders or each affected Lenders that by its terms disproportionately and adversely affects any such Defaulting Lender relative to other affected Lenders shall require the consent of such Defaulting Lender.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20"/>
          </w:cols>
          <w:pgMar w:left="440" w:top="274" w:right="439" w:bottom="1440" w:gutter="0" w:footer="0" w:header="0"/>
        </w:sectPr>
      </w:pPr>
    </w:p>
    <w:bookmarkStart w:id="163" w:name="page164"/>
    <w:bookmarkEnd w:id="163"/>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this Agreement to the contrary, each Lender hereby irrevocably authorizes the Administrative Agent on its behalf, and without further consent, to enter into amendments or modifications to this Agreement (including, without limitation, amendments to this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or any of the other Loan Documents or enter into additional Loan Documents as the Administrative Agent reasonably deems appropriate in order to effectuate the terms of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w:t>
      </w:r>
      <w:r>
        <w:rPr>
          <w:rFonts w:ascii="Arial" w:cs="Arial" w:eastAsia="Arial" w:hAnsi="Arial"/>
          <w:sz w:val="17"/>
          <w:szCs w:val="17"/>
          <w:u w:val="single" w:color="auto"/>
          <w:color w:val="auto"/>
        </w:rPr>
        <w:t>5.18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5.19</w:t>
      </w:r>
      <w:r>
        <w:rPr>
          <w:rFonts w:ascii="Arial" w:cs="Arial" w:eastAsia="Arial" w:hAnsi="Arial"/>
          <w:sz w:val="17"/>
          <w:szCs w:val="17"/>
          <w:color w:val="auto"/>
        </w:rPr>
        <w:t xml:space="preserve"> (including, without limitation, as applicable, (1) to permit the Incremental Term Loans, Extended Term Loans, Incremental Revolving Credit Facility Increases, extended Revolving Credit Commitments or Extended Revolving Credit Loans, as applicable, to share ratably in the benefits of this Agreement and the other Loan Documents, (2) to include the Incremental Term Loan Commitments, the Incremental Revolving Credit Facility Increase or the Extended Revolving Credit Commitments, as applicable, or outstanding Incremental Term Loans, outstanding Incremental Revolving Credit Facility Increase, outstanding Extended Revolving Credit Loans or outstanding Extended Term Loans, as applicable, in any determination of (i) Required Lenders or Required Revolving Credit Lenders, as applicable or (ii) similar required lender terms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amendment or modification shall result in any increase in the amount of any Lender’s Commitment or any increase in any Lender’s Commitment Percentage, in each case, without the written consent of such affected Lender, (3) amend and restate this Agreement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(4) to make amendments to any outstanding tranche of Term Loans to permit any Incremental Term Loans or Commitments relating thereto to be “fungible” (including, without limitation, for purposes of the Code) with such tranche of Term Loans, including, without limitation, increases in the Applicable Margin or any fees payable to such outstanding tranche of Term Loans or providing such outstanding tranche of Term Loans with the benefit of any call protection or covenants that are applicable to the proposed Incremental Term Loans or Commitments relating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amendments or modifications to such outstanding tranche of Term Loans shall not directly adversely affect the Lenders holding such tranche of Term Loans without their consent.</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Expenses; Indemnity</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69" w:lineRule="auto"/>
        <w:tabs>
          <w:tab w:leader="none" w:pos="820"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Borrowers shall pay, (i) all reasonable out of pocket expenses incurred by the Administrative Agent and its Affiliates (including the reasonable fees, charges and disbursements of counsel for the Administrative Agent),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any Issuing Lender in connection with the issuance, amendment, renewal or extension of any Letter of Credit or any demand for payment thereunder and (iii) all reasonable out of pocket expenses incurred by the Administrative Agent, any Lender or any Issuing Lender (including the reasonable fees, charges and disbursements of any counsel for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85" w:lineRule="exact"/>
        <w:rPr>
          <w:rFonts w:ascii="Arial" w:cs="Arial" w:eastAsia="Arial" w:hAnsi="Arial"/>
          <w:sz w:val="17"/>
          <w:szCs w:val="17"/>
          <w:color w:val="auto"/>
        </w:rPr>
      </w:pPr>
    </w:p>
    <w:p>
      <w:pPr>
        <w:ind w:right="120" w:firstLine="436"/>
        <w:spacing w:after="0" w:line="259" w:lineRule="auto"/>
        <w:tabs>
          <w:tab w:leader="none" w:pos="83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Borrowers shall indemnify the Administrative Agent (and any sub-agent thereof), each Arranger, each Lender and each Issuing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and shall pay or reimburse any such Indemnitee for, any and all losses, claims (including, without limitation, any Environmental Claims), penalties, damages, liabilities and related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0"/>
          </w:cols>
          <w:pgMar w:left="440" w:top="274" w:right="459" w:bottom="1440" w:gutter="0" w:footer="0" w:header="0"/>
        </w:sectPr>
      </w:pPr>
    </w:p>
    <w:bookmarkStart w:id="164" w:name="page165"/>
    <w:bookmarkEnd w:id="164"/>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expenses (including the reasonable fees, charges and disbursements of any counsel for any Indemnitee), incurred by any Indemnitee or asserted against any Indemnitee by any Person (including the Borrowers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without limitation,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without limitation, reasonable attorneys and consultant’s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(B)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This </w:t>
      </w:r>
      <w:r>
        <w:rPr>
          <w:rFonts w:ascii="Arial" w:cs="Arial" w:eastAsia="Arial" w:hAnsi="Arial"/>
          <w:sz w:val="16"/>
          <w:szCs w:val="16"/>
          <w:u w:val="single" w:color="auto"/>
          <w:color w:val="auto"/>
        </w:rPr>
        <w:t>Section 12.3(b)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385" w:lineRule="exact"/>
        <w:rPr>
          <w:sz w:val="20"/>
          <w:szCs w:val="20"/>
          <w:color w:val="auto"/>
        </w:rPr>
      </w:pPr>
    </w:p>
    <w:p>
      <w:pPr>
        <w:ind w:left="824" w:hanging="384"/>
        <w:spacing w:after="0"/>
        <w:tabs>
          <w:tab w:leader="none" w:pos="824"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the Borrowers for any reason fail to indefeasibly pay any amount required under clause (a) or</w:t>
      </w:r>
    </w:p>
    <w:p>
      <w:pPr>
        <w:spacing w:after="0" w:line="46" w:lineRule="exact"/>
        <w:rPr>
          <w:rFonts w:ascii="Arial" w:cs="Arial" w:eastAsia="Arial" w:hAnsi="Arial"/>
          <w:sz w:val="16"/>
          <w:szCs w:val="16"/>
          <w:color w:val="auto"/>
        </w:rPr>
      </w:pPr>
    </w:p>
    <w:p>
      <w:pPr>
        <w:ind w:left="4" w:right="60" w:hanging="4"/>
        <w:spacing w:after="0" w:line="284" w:lineRule="auto"/>
        <w:tabs>
          <w:tab w:leader="none" w:pos="25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of this Section to be paid by it to the Administrative Agent (or any sub-agent thereof), any Arranger, any Issuing Lender, any Swingline Lender or any Related Party of any of the foregoing, each Lender severally agrees to pay to the Administrative Agent (or any such sub-agent), such Issuing Lender, such Swingline Lender or such Related Party, as the case may be,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such unpaid amounts owed to any Issuing Lender or any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such Issuing Lender or such Swingline Lender in its capacity as such, or against any Related Party of any of the foregoing acting for the Administrative Agent (or any such sub-agent), such Issuing Lender or such Swingline Lender in connection with such capacity. The obligations of the Lenders under this clause (c) are subject to the provisions of </w:t>
      </w:r>
      <w:r>
        <w:rPr>
          <w:rFonts w:ascii="Arial" w:cs="Arial" w:eastAsia="Arial" w:hAnsi="Arial"/>
          <w:sz w:val="16"/>
          <w:szCs w:val="16"/>
          <w:u w:val="single" w:color="auto"/>
          <w:color w:val="auto"/>
        </w:rPr>
        <w:t>Section 5.7</w:t>
      </w:r>
      <w:r>
        <w:rPr>
          <w:rFonts w:ascii="Arial" w:cs="Arial" w:eastAsia="Arial" w:hAnsi="Arial"/>
          <w:sz w:val="16"/>
          <w:szCs w:val="16"/>
          <w:color w:val="auto"/>
        </w:rPr>
        <w: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04"/>
          </w:cols>
          <w:pgMar w:left="436" w:top="274" w:right="459" w:bottom="1440" w:gutter="0" w:footer="0" w:header="0"/>
        </w:sectPr>
      </w:pPr>
    </w:p>
    <w:bookmarkStart w:id="165" w:name="page166"/>
    <w:bookmarkEnd w:id="165"/>
    <w:p>
      <w:pPr>
        <w:ind w:right="60" w:firstLine="436"/>
        <w:spacing w:after="0" w:line="272" w:lineRule="auto"/>
        <w:tabs>
          <w:tab w:leader="none" w:pos="830"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of Consequential Damages, Etc.</w:t>
      </w:r>
      <w:r>
        <w:rPr>
          <w:rFonts w:ascii="Arial" w:cs="Arial" w:eastAsia="Arial" w:hAnsi="Arial"/>
          <w:sz w:val="17"/>
          <w:szCs w:val="17"/>
          <w:color w:val="auto"/>
        </w:rPr>
        <w:t xml:space="preserve"> To the fullest extent permitted by Applicable Law, each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77" w:lineRule="exact"/>
        <w:rPr>
          <w:rFonts w:ascii="Arial" w:cs="Arial" w:eastAsia="Arial" w:hAnsi="Arial"/>
          <w:sz w:val="17"/>
          <w:szCs w:val="17"/>
          <w:color w:val="auto"/>
        </w:rPr>
      </w:pPr>
    </w:p>
    <w:p>
      <w:pPr>
        <w:ind w:left="820" w:hanging="384"/>
        <w:spacing w:after="0"/>
        <w:tabs>
          <w:tab w:leader="none" w:pos="82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225" w:lineRule="exact"/>
        <w:rPr>
          <w:rFonts w:ascii="Arial" w:cs="Arial" w:eastAsia="Arial" w:hAnsi="Arial"/>
          <w:sz w:val="18"/>
          <w:szCs w:val="18"/>
          <w:color w:val="auto"/>
        </w:rPr>
      </w:pPr>
    </w:p>
    <w:p>
      <w:pPr>
        <w:ind w:left="800" w:hanging="364"/>
        <w:spacing w:after="0"/>
        <w:tabs>
          <w:tab w:leader="none" w:pos="80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Each party’s obligations under this Section shall survive the termination of the Loan Documents and payment of the obligations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21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each Issuing Lender, each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Issuing Lender, such Swingline Lender or any such Affiliate to or for the credit or the account of the Borrowers or any other Credit Party against any and all of the obligations of the Borrowers or such Credit Party now or hereafter existing under this Agreement or any other Loan Document to such Lender, such Issuing Lender or such Swingline Lender or any of their respective Affiliates, irrespective of whether or not such Lender, such Issuing Lender, such Swingline Lender or any such Affiliate shall have made any demand under this Agreement or any other Loan Document and although such obligations of the Borrowers or such Credit Party may be contingent or unmatured or are owed to a branch or office of such Lender, such Issuing Lender, such Swingline Lender or such Affiliate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or any Affiliate thereof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and, pending such payment, shall be segregated by such Defaulting Lender or Affiliate of a Defaulting Lender from its other funds and deemed held in trust for the benefit of the Administrative Agent, the Issuing Lenders, the Swingline Lenders and the Lenders, and (y) the Defaulting Lender or its Affiliate shall provide promptly to the Administrative Agent a statement describing in reasonable detail the Secured Obligations owing to such Defaulting Lender or any of its Affiliates as to which it exercised such right of setoff. The rights of each Lender, each Issuing Lender, each Swingline Lender and their respective Affiliates under this Section are in addition to other rights and remedies (including other rights of setoff) that such Lender, such Issuing Lender, such Swingline Lender or their respective Affiliates may have. Each Lender, such Issuing Lender and such Swingline Lender agree to notify the Borrowers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27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u w:val="single" w:color="auto"/>
          <w:color w:val="auto"/>
        </w:rPr>
        <w:t>Governing Law; Jurisdiction, Etc.</w:t>
      </w:r>
    </w:p>
    <w:p>
      <w:pPr>
        <w:spacing w:after="0" w:line="117" w:lineRule="exact"/>
        <w:rPr>
          <w:sz w:val="20"/>
          <w:szCs w:val="20"/>
          <w:color w:val="auto"/>
        </w:rPr>
      </w:pPr>
    </w:p>
    <w:p>
      <w:pPr>
        <w:ind w:right="40" w:firstLine="436"/>
        <w:spacing w:after="0" w:line="259" w:lineRule="auto"/>
        <w:tabs>
          <w:tab w:leader="none" w:pos="8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980"/>
          </w:cols>
          <w:pgMar w:left="440" w:top="274" w:right="479" w:bottom="1440" w:gutter="0" w:footer="0" w:header="0"/>
        </w:sectPr>
      </w:pPr>
    </w:p>
    <w:bookmarkStart w:id="166" w:name="page167"/>
    <w:bookmarkEnd w:id="166"/>
    <w:p>
      <w:pPr>
        <w:ind w:left="4" w:firstLine="436"/>
        <w:spacing w:after="0" w:line="269" w:lineRule="auto"/>
        <w:tabs>
          <w:tab w:leader="none" w:pos="834"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to Jurisdiction</w:t>
      </w:r>
      <w:r>
        <w:rPr>
          <w:rFonts w:ascii="Arial" w:cs="Arial" w:eastAsia="Arial" w:hAnsi="Arial"/>
          <w:sz w:val="17"/>
          <w:szCs w:val="17"/>
          <w:color w:val="auto"/>
        </w:rPr>
        <w:t>. The Borrowers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any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any Swingline Lender may otherwise have to bring any action or proceeding relating to this Agreement or any other Loan Document against the Borrowers or any other Credit Party or its properties in the courts of any jurisdiction.</w:t>
      </w:r>
    </w:p>
    <w:p>
      <w:pPr>
        <w:spacing w:after="0" w:line="178" w:lineRule="exact"/>
        <w:rPr>
          <w:rFonts w:ascii="Arial" w:cs="Arial" w:eastAsia="Arial" w:hAnsi="Arial"/>
          <w:sz w:val="17"/>
          <w:szCs w:val="17"/>
          <w:color w:val="auto"/>
        </w:rPr>
      </w:pPr>
    </w:p>
    <w:p>
      <w:pPr>
        <w:ind w:left="4" w:right="180" w:firstLine="436"/>
        <w:spacing w:after="0" w:line="257" w:lineRule="auto"/>
        <w:tabs>
          <w:tab w:leader="none" w:pos="824"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Borrowers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Arial" w:cs="Arial" w:eastAsia="Arial" w:hAnsi="Arial"/>
          <w:sz w:val="18"/>
          <w:szCs w:val="18"/>
          <w:color w:val="auto"/>
        </w:rPr>
      </w:pPr>
    </w:p>
    <w:p>
      <w:pPr>
        <w:ind w:left="4" w:right="100" w:firstLine="436"/>
        <w:spacing w:after="0" w:line="308" w:lineRule="auto"/>
        <w:tabs>
          <w:tab w:leader="none" w:pos="834"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xml:space="preserve">. Each party hereto irrevocably consents to service of process in the manner provided for notices in </w:t>
      </w:r>
      <w:r>
        <w:rPr>
          <w:rFonts w:ascii="Arial" w:cs="Arial" w:eastAsia="Arial" w:hAnsi="Arial"/>
          <w:sz w:val="17"/>
          <w:szCs w:val="17"/>
          <w:u w:val="single" w:color="auto"/>
          <w:color w:val="auto"/>
        </w:rPr>
        <w:t>Section 12.1</w:t>
      </w:r>
      <w:r>
        <w:rPr>
          <w:rFonts w:ascii="Arial" w:cs="Arial" w:eastAsia="Arial" w:hAnsi="Arial"/>
          <w:sz w:val="17"/>
          <w:szCs w:val="17"/>
          <w:color w:val="auto"/>
        </w:rPr>
        <w:t>. Nothing in this Agreement will affect the right of any party hereto to serve process in any other manner permitted by Applicable Law.</w:t>
      </w:r>
    </w:p>
    <w:p>
      <w:pPr>
        <w:spacing w:after="0" w:line="146"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80" w:hanging="4"/>
        <w:spacing w:after="0" w:line="253" w:lineRule="auto"/>
        <w:tabs>
          <w:tab w:leader="none" w:pos="29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 xml:space="preserve">SECTION 12.7 </w:t>
      </w:r>
      <w:r>
        <w:rPr>
          <w:rFonts w:ascii="Arial" w:cs="Arial" w:eastAsia="Arial" w:hAnsi="Arial"/>
          <w:sz w:val="16"/>
          <w:szCs w:val="16"/>
          <w:u w:val="single" w:color="auto"/>
          <w:color w:val="auto"/>
        </w:rPr>
        <w:t>Reversal of Payments</w:t>
      </w:r>
      <w:r>
        <w:rPr>
          <w:rFonts w:ascii="Arial" w:cs="Arial" w:eastAsia="Arial" w:hAnsi="Arial"/>
          <w:sz w:val="16"/>
          <w:szCs w:val="16"/>
          <w:color w:val="auto"/>
        </w:rPr>
        <w:t>. 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4"/>
          </w:cols>
          <w:pgMar w:left="436" w:top="274" w:right="459" w:bottom="1440" w:gutter="0" w:footer="0" w:header="0"/>
        </w:sectPr>
      </w:pPr>
    </w:p>
    <w:bookmarkStart w:id="167" w:name="page168"/>
    <w:bookmarkEnd w:id="167"/>
    <w:p>
      <w:pPr>
        <w:ind w:left="4"/>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applicable ratable share (without duplication) of any amount so recovered from or repaid by the Administrative Agent plus interest thereon at a per annum rate equal to the Federal Funds Rate from the date of such demand to the date such payment is made to the Administrative Agent.</w:t>
      </w:r>
    </w:p>
    <w:p>
      <w:pPr>
        <w:spacing w:after="0" w:line="157"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u w:val="single" w:color="auto"/>
          <w:color w:val="auto"/>
        </w:rPr>
        <w:t>Injunctive Relief</w:t>
      </w:r>
      <w:r>
        <w:rPr>
          <w:rFonts w:ascii="Arial" w:cs="Arial" w:eastAsia="Arial" w:hAnsi="Arial"/>
          <w:sz w:val="18"/>
          <w:szCs w:val="18"/>
          <w:color w:val="auto"/>
        </w:rPr>
        <w:t>. The Borrowers recognizes that, in the event the Borrowers fail to perform, observe or discharge any of its obligations or liabilities under this Agreement, any remedy of law may prove to be inadequate relief to the Lenders. Therefore, the Borrowers agree that the Lenders, at the Lenders’ option, shall be entitled to temporary and permanent injunctive relief in any such case without the necessity of proving actual damages.</w:t>
      </w:r>
    </w:p>
    <w:p>
      <w:pPr>
        <w:spacing w:after="0" w:line="295"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Successors and Assigns; Participations</w:t>
      </w:r>
      <w:r>
        <w:rPr>
          <w:rFonts w:ascii="Arial" w:cs="Arial" w:eastAsia="Arial" w:hAnsi="Arial"/>
          <w:sz w:val="16"/>
          <w:szCs w:val="16"/>
          <w:color w:val="auto"/>
        </w:rPr>
        <w:t>.</w:t>
      </w:r>
    </w:p>
    <w:p>
      <w:pPr>
        <w:spacing w:after="0" w:line="117" w:lineRule="exact"/>
        <w:rPr>
          <w:sz w:val="20"/>
          <w:szCs w:val="20"/>
          <w:color w:val="auto"/>
        </w:rPr>
      </w:pPr>
    </w:p>
    <w:p>
      <w:pPr>
        <w:ind w:left="4" w:right="120" w:firstLine="436"/>
        <w:spacing w:after="0" w:line="286" w:lineRule="auto"/>
        <w:tabs>
          <w:tab w:leader="none" w:pos="824"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Borrowers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w:t>
      </w:r>
    </w:p>
    <w:p>
      <w:pPr>
        <w:spacing w:after="0" w:line="1" w:lineRule="exact"/>
        <w:rPr>
          <w:rFonts w:ascii="Arial" w:cs="Arial" w:eastAsia="Arial" w:hAnsi="Arial"/>
          <w:sz w:val="16"/>
          <w:szCs w:val="16"/>
          <w:color w:val="auto"/>
        </w:rPr>
      </w:pPr>
    </w:p>
    <w:p>
      <w:pPr>
        <w:ind w:left="4" w:right="60" w:hanging="4"/>
        <w:spacing w:after="0" w:line="252" w:lineRule="auto"/>
        <w:tabs>
          <w:tab w:leader="none" w:pos="26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93" w:lineRule="exact"/>
        <w:rPr>
          <w:rFonts w:ascii="Arial" w:cs="Arial" w:eastAsia="Arial" w:hAnsi="Arial"/>
          <w:sz w:val="18"/>
          <w:szCs w:val="18"/>
          <w:color w:val="auto"/>
        </w:rPr>
      </w:pPr>
    </w:p>
    <w:p>
      <w:pPr>
        <w:ind w:left="4" w:right="40" w:firstLine="436"/>
        <w:spacing w:after="0" w:line="263" w:lineRule="auto"/>
        <w:tabs>
          <w:tab w:leader="none" w:pos="834"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Credit Facility, any such assignment shall be subject to the following conditions:</w:t>
      </w:r>
    </w:p>
    <w:p>
      <w:pPr>
        <w:spacing w:after="0" w:line="291" w:lineRule="exact"/>
        <w:rPr>
          <w:rFonts w:ascii="Arial" w:cs="Arial" w:eastAsia="Arial" w:hAnsi="Arial"/>
          <w:sz w:val="18"/>
          <w:szCs w:val="18"/>
          <w:color w:val="auto"/>
        </w:rPr>
      </w:pPr>
    </w:p>
    <w:p>
      <w:pPr>
        <w:ind w:left="1204" w:hanging="341"/>
        <w:spacing w:after="0"/>
        <w:tabs>
          <w:tab w:leader="none" w:pos="1204" w:val="left"/>
        </w:tabs>
        <w:numPr>
          <w:ilvl w:val="2"/>
          <w:numId w:val="234"/>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4" w:firstLine="408"/>
        <w:spacing w:after="0" w:line="259" w:lineRule="auto"/>
        <w:tabs>
          <w:tab w:leader="none" w:pos="1814" w:val="left"/>
        </w:tabs>
        <w:numPr>
          <w:ilvl w:val="3"/>
          <w:numId w:val="234"/>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and/or the Loans at the time owing to it (in each case with respect to any Credit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78" w:lineRule="exact"/>
        <w:rPr>
          <w:rFonts w:ascii="Arial" w:cs="Arial" w:eastAsia="Arial" w:hAnsi="Arial"/>
          <w:sz w:val="18"/>
          <w:szCs w:val="18"/>
          <w:color w:val="auto"/>
        </w:rPr>
      </w:pPr>
    </w:p>
    <w:p>
      <w:pPr>
        <w:ind w:left="984" w:firstLine="408"/>
        <w:spacing w:after="0" w:line="257" w:lineRule="auto"/>
        <w:tabs>
          <w:tab w:leader="none" w:pos="1805" w:val="left"/>
        </w:tabs>
        <w:numPr>
          <w:ilvl w:val="3"/>
          <w:numId w:val="234"/>
        </w:numPr>
        <w:rPr>
          <w:rFonts w:ascii="Arial" w:cs="Arial" w:eastAsia="Arial" w:hAnsi="Arial"/>
          <w:sz w:val="18"/>
          <w:szCs w:val="18"/>
          <w:color w:val="auto"/>
        </w:rPr>
      </w:pPr>
      <w:r>
        <w:rPr>
          <w:rFonts w:ascii="Arial" w:cs="Arial" w:eastAsia="Arial" w:hAnsi="Arial"/>
          <w:sz w:val="18"/>
          <w:szCs w:val="18"/>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04"/>
          </w:cols>
          <w:pgMar w:left="436" w:top="274" w:right="459" w:bottom="1440" w:gutter="0" w:footer="0" w:header="0"/>
        </w:sectPr>
      </w:pPr>
    </w:p>
    <w:bookmarkStart w:id="168" w:name="page169"/>
    <w:bookmarkEnd w:id="168"/>
    <w:p>
      <w:pPr>
        <w:jc w:val="both"/>
        <w:ind w:left="540"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assignment in respect of the Revolving Credit Facility, or $1,000,000, in the case of any assignment in respect of the Term Loan Facility, unless each of the Administrative Agent and, so long as no Event of Default has occurred and is continuing, Centuri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Centuri shall be deemed to have given its consent five</w:t>
      </w:r>
    </w:p>
    <w:p>
      <w:pPr>
        <w:spacing w:after="0" w:line="2" w:lineRule="exact"/>
        <w:rPr>
          <w:sz w:val="20"/>
          <w:szCs w:val="20"/>
          <w:color w:val="auto"/>
        </w:rPr>
      </w:pPr>
    </w:p>
    <w:p>
      <w:pPr>
        <w:ind w:left="540" w:right="380" w:firstLine="7"/>
        <w:spacing w:after="0" w:line="260" w:lineRule="auto"/>
        <w:tabs>
          <w:tab w:leader="none" w:pos="79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Business Days after the date written notice thereof has been delivered by the assigning Lender (through the Administrative Agent) unless such consent is expressly refused by Centuri prior to such fifth (5th) Business Day;</w:t>
      </w:r>
    </w:p>
    <w:p>
      <w:pPr>
        <w:spacing w:after="0" w:line="77" w:lineRule="exact"/>
        <w:rPr>
          <w:rFonts w:ascii="Arial" w:cs="Arial" w:eastAsia="Arial" w:hAnsi="Arial"/>
          <w:sz w:val="18"/>
          <w:szCs w:val="18"/>
          <w:color w:val="auto"/>
        </w:rPr>
      </w:pPr>
    </w:p>
    <w:p>
      <w:pPr>
        <w:ind w:firstLine="419"/>
        <w:spacing w:after="0" w:line="259" w:lineRule="auto"/>
        <w:tabs>
          <w:tab w:leader="none" w:pos="82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Commitment assigned and each assignment of Term Loans shall be a ratable assignment of the assigning Lender’s Term Loans made to the US Borrowers and the assigning Lender’s Term Loans made to the Canadian Borrowers (if any);</w:t>
      </w:r>
    </w:p>
    <w:p>
      <w:pPr>
        <w:spacing w:after="0" w:line="78" w:lineRule="exact"/>
        <w:rPr>
          <w:rFonts w:ascii="Arial" w:cs="Arial" w:eastAsia="Arial" w:hAnsi="Arial"/>
          <w:sz w:val="18"/>
          <w:szCs w:val="18"/>
          <w:color w:val="auto"/>
        </w:rPr>
      </w:pPr>
    </w:p>
    <w:p>
      <w:pPr>
        <w:ind w:right="520" w:firstLine="419"/>
        <w:spacing w:after="0" w:line="277" w:lineRule="auto"/>
        <w:tabs>
          <w:tab w:leader="none" w:pos="87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paragraph (b)(i)(B) of this Section and, in addition:</w:t>
      </w:r>
    </w:p>
    <w:p>
      <w:pPr>
        <w:spacing w:after="0" w:line="62" w:lineRule="exact"/>
        <w:rPr>
          <w:rFonts w:ascii="Arial" w:cs="Arial" w:eastAsia="Arial" w:hAnsi="Arial"/>
          <w:sz w:val="18"/>
          <w:szCs w:val="18"/>
          <w:color w:val="auto"/>
        </w:rPr>
      </w:pPr>
    </w:p>
    <w:p>
      <w:pPr>
        <w:ind w:left="540" w:right="40" w:firstLine="408"/>
        <w:spacing w:after="0" w:line="255" w:lineRule="auto"/>
        <w:tabs>
          <w:tab w:leader="none" w:pos="1370" w:val="left"/>
        </w:tabs>
        <w:numPr>
          <w:ilvl w:val="2"/>
          <w:numId w:val="236"/>
        </w:numPr>
        <w:rPr>
          <w:rFonts w:ascii="Arial" w:cs="Arial" w:eastAsia="Arial" w:hAnsi="Arial"/>
          <w:sz w:val="18"/>
          <w:szCs w:val="18"/>
          <w:color w:val="auto"/>
        </w:rPr>
      </w:pPr>
      <w:r>
        <w:rPr>
          <w:rFonts w:ascii="Arial" w:cs="Arial" w:eastAsia="Arial" w:hAnsi="Arial"/>
          <w:sz w:val="18"/>
          <w:szCs w:val="18"/>
          <w:color w:val="auto"/>
        </w:rPr>
        <w:t xml:space="preserve">the consent of Centuri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Centuri shall be deemed to have consented to any such assignment unless it shall object thereto by written notice to the Administrative Agent within five (5) Business Days after having received notice thereof;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Centuri’s consent shall not be required during the period commencing on the Closing Date and ending on the date that is ninety (90) days following the Closing Date;</w:t>
      </w:r>
    </w:p>
    <w:p>
      <w:pPr>
        <w:spacing w:after="0" w:line="84" w:lineRule="exact"/>
        <w:rPr>
          <w:rFonts w:ascii="Arial" w:cs="Arial" w:eastAsia="Arial" w:hAnsi="Arial"/>
          <w:sz w:val="18"/>
          <w:szCs w:val="18"/>
          <w:color w:val="auto"/>
        </w:rPr>
      </w:pPr>
    </w:p>
    <w:p>
      <w:pPr>
        <w:ind w:left="540" w:firstLine="408"/>
        <w:spacing w:after="0" w:line="259" w:lineRule="auto"/>
        <w:tabs>
          <w:tab w:leader="none" w:pos="1361" w:val="left"/>
        </w:tabs>
        <w:numPr>
          <w:ilvl w:val="2"/>
          <w:numId w:val="236"/>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the Revolving Credit Facility if such assignment is to a Person that is not a Lender with a Revolving Credit Commitment, an Affiliate of such Lender or an Approved Fund with respect to such Lender or (ii) the Term Loans to a Person who is not a Lender, an Affiliate of a Lender or an Approved Fund; and</w:t>
      </w:r>
    </w:p>
    <w:p>
      <w:pPr>
        <w:spacing w:after="0" w:line="78" w:lineRule="exact"/>
        <w:rPr>
          <w:rFonts w:ascii="Arial" w:cs="Arial" w:eastAsia="Arial" w:hAnsi="Arial"/>
          <w:sz w:val="18"/>
          <w:szCs w:val="18"/>
          <w:color w:val="auto"/>
        </w:rPr>
      </w:pPr>
    </w:p>
    <w:p>
      <w:pPr>
        <w:ind w:left="540" w:firstLine="408"/>
        <w:spacing w:after="0" w:line="277" w:lineRule="auto"/>
        <w:tabs>
          <w:tab w:leader="none" w:pos="1361" w:val="left"/>
        </w:tabs>
        <w:numPr>
          <w:ilvl w:val="2"/>
          <w:numId w:val="236"/>
        </w:numPr>
        <w:rPr>
          <w:rFonts w:ascii="Arial" w:cs="Arial" w:eastAsia="Arial" w:hAnsi="Arial"/>
          <w:sz w:val="18"/>
          <w:szCs w:val="18"/>
          <w:color w:val="auto"/>
        </w:rPr>
      </w:pPr>
      <w:r>
        <w:rPr>
          <w:rFonts w:ascii="Arial" w:cs="Arial" w:eastAsia="Arial" w:hAnsi="Arial"/>
          <w:sz w:val="18"/>
          <w:szCs w:val="18"/>
          <w:color w:val="auto"/>
        </w:rPr>
        <w:t>the consents of the Issuing Lenders and the Swingline Lenders (such consents not to be unreasonably withheld or delayed) shall be required for any assignment in respect of the Revolving Credit Facility.</w:t>
      </w:r>
    </w:p>
    <w:p>
      <w:pPr>
        <w:spacing w:after="0" w:line="62" w:lineRule="exact"/>
        <w:rPr>
          <w:rFonts w:ascii="Arial" w:cs="Arial" w:eastAsia="Arial" w:hAnsi="Arial"/>
          <w:sz w:val="18"/>
          <w:szCs w:val="18"/>
          <w:color w:val="auto"/>
        </w:rPr>
      </w:pPr>
    </w:p>
    <w:p>
      <w:pPr>
        <w:ind w:right="20" w:firstLine="419"/>
        <w:spacing w:after="0" w:line="257" w:lineRule="auto"/>
        <w:tabs>
          <w:tab w:leader="none" w:pos="86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9" w:lineRule="exact"/>
        <w:rPr>
          <w:rFonts w:ascii="Arial" w:cs="Arial" w:eastAsia="Arial" w:hAnsi="Arial"/>
          <w:sz w:val="18"/>
          <w:szCs w:val="18"/>
          <w:color w:val="auto"/>
        </w:rPr>
      </w:pPr>
    </w:p>
    <w:p>
      <w:pPr>
        <w:ind w:right="160" w:firstLine="419"/>
        <w:spacing w:after="0" w:line="263" w:lineRule="auto"/>
        <w:tabs>
          <w:tab w:leader="none" w:pos="81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the Borrowers or any of the Borrowers’ respective Subsidiaries or Affiliates or (B) any Defaulting Lender or any of its Subsidiaries, or any Person who, upon becoming a Lender hereunder, would constitute any of the foregoing Persons described in this clause (B).</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560"/>
          </w:cols>
          <w:pgMar w:left="880" w:top="274" w:right="459" w:bottom="1440" w:gutter="0" w:footer="0" w:header="0"/>
        </w:sectPr>
      </w:pPr>
    </w:p>
    <w:bookmarkStart w:id="169" w:name="page170"/>
    <w:bookmarkEnd w:id="169"/>
    <w:p>
      <w:pPr>
        <w:ind w:left="440" w:right="80" w:firstLine="419"/>
        <w:spacing w:after="0" w:line="277" w:lineRule="auto"/>
        <w:tabs>
          <w:tab w:leader="none" w:pos="1303"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Assignment to Natural Persons</w:t>
      </w:r>
      <w:r>
        <w:rPr>
          <w:rFonts w:ascii="Arial" w:cs="Arial" w:eastAsia="Arial" w:hAnsi="Arial"/>
          <w:sz w:val="18"/>
          <w:szCs w:val="18"/>
          <w:color w:val="auto"/>
        </w:rPr>
        <w:t>. No such assignment shall be made to a natural Person (or a holding company, investment vehicle or trust for, or owned and operated for the primary benefit of, a natural Person).</w:t>
      </w:r>
    </w:p>
    <w:p>
      <w:pPr>
        <w:spacing w:after="0" w:line="62" w:lineRule="exact"/>
        <w:rPr>
          <w:rFonts w:ascii="Arial" w:cs="Arial" w:eastAsia="Arial" w:hAnsi="Arial"/>
          <w:sz w:val="18"/>
          <w:szCs w:val="18"/>
          <w:color w:val="auto"/>
        </w:rPr>
      </w:pPr>
    </w:p>
    <w:p>
      <w:pPr>
        <w:ind w:left="440" w:right="40" w:firstLine="419"/>
        <w:spacing w:after="0" w:line="269" w:lineRule="auto"/>
        <w:tabs>
          <w:tab w:leader="none" w:pos="1353"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Centuri and the Administrative Agent, the applicable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Lenders and each other Lender hereunder (and interest accrued thereon), and (B) acquire (and fund as appropriate) its full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5.8</w:t>
      </w:r>
      <w:r>
        <w:rPr>
          <w:rFonts w:ascii="Arial" w:cs="Arial" w:eastAsia="Arial" w:hAnsi="Arial"/>
          <w:sz w:val="17"/>
          <w:szCs w:val="17"/>
          <w:color w:val="auto"/>
        </w:rPr>
        <w:t xml:space="preserve">, </w:t>
      </w:r>
      <w:r>
        <w:rPr>
          <w:rFonts w:ascii="Arial" w:cs="Arial" w:eastAsia="Arial" w:hAnsi="Arial"/>
          <w:sz w:val="17"/>
          <w:szCs w:val="17"/>
          <w:u w:val="single" w:color="auto"/>
          <w:color w:val="auto"/>
        </w:rPr>
        <w:t>5.9</w:t>
      </w:r>
      <w:r>
        <w:rPr>
          <w:rFonts w:ascii="Arial" w:cs="Arial" w:eastAsia="Arial" w:hAnsi="Arial"/>
          <w:sz w:val="17"/>
          <w:szCs w:val="17"/>
          <w:color w:val="auto"/>
        </w:rPr>
        <w:t xml:space="preserve">, </w:t>
      </w:r>
      <w:r>
        <w:rPr>
          <w:rFonts w:ascii="Arial" w:cs="Arial" w:eastAsia="Arial" w:hAnsi="Arial"/>
          <w:sz w:val="17"/>
          <w:szCs w:val="17"/>
          <w:u w:val="single" w:color="auto"/>
          <w:color w:val="auto"/>
        </w:rPr>
        <w:t>5.10</w:t>
      </w:r>
      <w:r>
        <w:rPr>
          <w:rFonts w:ascii="Arial" w:cs="Arial" w:eastAsia="Arial" w:hAnsi="Arial"/>
          <w:sz w:val="17"/>
          <w:szCs w:val="17"/>
          <w:color w:val="auto"/>
        </w:rPr>
        <w:t xml:space="preserve">,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12.3</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any Borrower or any of the Borrowers’ Subsidiaries or Affiliates, which shall be null and void.)</w:t>
      </w:r>
    </w:p>
    <w:p>
      <w:pPr>
        <w:spacing w:after="0" w:line="179" w:lineRule="exact"/>
        <w:rPr>
          <w:sz w:val="20"/>
          <w:szCs w:val="20"/>
          <w:color w:val="auto"/>
        </w:rPr>
      </w:pPr>
    </w:p>
    <w:p>
      <w:pPr>
        <w:ind w:right="40" w:firstLine="436"/>
        <w:spacing w:after="0" w:line="291" w:lineRule="auto"/>
        <w:tabs>
          <w:tab w:leader="none" w:pos="820"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Borrowers, shall maintain at one of its offices in Charlotte, North Carolina, a copy of each Assignment and Assumption and each Incremental Amendment delivered to it and a register for the recordation of the names and addresses of the Lenders, and the Commitment of, and principal amounts of (and stated interest on)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960"/>
          </w:cols>
          <w:pgMar w:left="440" w:top="274" w:right="499" w:bottom="1440" w:gutter="0" w:footer="0" w:header="0"/>
        </w:sectPr>
      </w:pPr>
    </w:p>
    <w:bookmarkStart w:id="170" w:name="page171"/>
    <w:bookmarkEnd w:id="170"/>
    <w:p>
      <w:pPr>
        <w:ind w:left="4" w:right="160" w:firstLine="436"/>
        <w:spacing w:after="0" w:line="286" w:lineRule="auto"/>
        <w:tabs>
          <w:tab w:leader="none" w:pos="834"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Participations</w:t>
      </w:r>
      <w:r>
        <w:rPr>
          <w:rFonts w:ascii="Arial" w:cs="Arial" w:eastAsia="Arial" w:hAnsi="Arial"/>
          <w:sz w:val="16"/>
          <w:szCs w:val="16"/>
          <w:color w:val="auto"/>
        </w:rPr>
        <w:t>.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any Borrower or any of the Borrowers’ Subsidiaries or Affiliates)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4" w:right="100" w:hanging="4"/>
        <w:spacing w:after="0" w:line="253" w:lineRule="auto"/>
        <w:tabs>
          <w:tab w:leader="none" w:pos="21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such Lender’s obligations under this Agreement shall remain unchanged, (ii) such Lender shall remain solely responsible to the other parties hereto for the performance of such obligations and (iii) the Borrowers, the Administrative Agent, the Issuing Lenders, the Swingline Lenders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12.3(c)</w:t>
      </w:r>
      <w:r>
        <w:rPr>
          <w:rFonts w:ascii="Arial" w:cs="Arial" w:eastAsia="Arial" w:hAnsi="Arial"/>
          <w:sz w:val="18"/>
          <w:szCs w:val="18"/>
          <w:color w:val="auto"/>
        </w:rPr>
        <w:t xml:space="preserve"> with respect to any payments made by such Lender to its Participant(s).</w:t>
      </w:r>
    </w:p>
    <w:p>
      <w:pPr>
        <w:spacing w:after="0" w:line="191"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6"/>
          <w:szCs w:val="16"/>
          <w:u w:val="single" w:color="auto"/>
          <w:color w:val="auto"/>
        </w:rPr>
        <w:t>Section 12.2(b)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that directly and adversely affects such Participant. The Borrowers agree that each Participant shall be entitled to the benefits of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5.11(g)</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5.11(g)</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as if it were an assignee under paragraph (b) of this Section; and (B) shall not be entitled to receive any greater payment under </w:t>
      </w:r>
      <w:r>
        <w:rPr>
          <w:rFonts w:ascii="Arial" w:cs="Arial" w:eastAsia="Arial" w:hAnsi="Arial"/>
          <w:sz w:val="16"/>
          <w:szCs w:val="16"/>
          <w:u w:val="single" w:color="auto"/>
          <w:color w:val="auto"/>
        </w:rPr>
        <w:t>Sections 5.10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6"/>
          <w:szCs w:val="16"/>
          <w:u w:val="single" w:color="auto"/>
          <w:color w:val="auto"/>
        </w:rPr>
        <w:t>Section 5.12(b)</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 4</w:t>
      </w:r>
      <w:r>
        <w:rPr>
          <w:rFonts w:ascii="Arial" w:cs="Arial" w:eastAsia="Arial" w:hAnsi="Arial"/>
          <w:sz w:val="16"/>
          <w:szCs w:val="16"/>
          <w:color w:val="auto"/>
        </w:rPr>
        <w:t xml:space="preserve"> as though it were a Lender.</w:t>
      </w:r>
    </w:p>
    <w:p>
      <w:pPr>
        <w:spacing w:after="0" w:line="174"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6" w:lineRule="exact"/>
        <w:rPr>
          <w:sz w:val="20"/>
          <w:szCs w:val="20"/>
          <w:color w:val="auto"/>
        </w:rPr>
      </w:pPr>
    </w:p>
    <w:p>
      <w:pPr>
        <w:ind w:left="4" w:right="40" w:firstLine="436"/>
        <w:spacing w:after="0" w:line="259" w:lineRule="auto"/>
        <w:tabs>
          <w:tab w:leader="none" w:pos="824"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84"/>
          </w:cols>
          <w:pgMar w:left="436" w:top="274" w:right="479" w:bottom="1440" w:gutter="0" w:footer="0" w:header="0"/>
        </w:sectPr>
      </w:pPr>
    </w:p>
    <w:bookmarkStart w:id="171" w:name="page172"/>
    <w:bookmarkEnd w:id="171"/>
    <w:p>
      <w:pPr>
        <w:ind w:left="4" w:right="120" w:firstLine="436"/>
        <w:spacing w:after="0" w:line="286" w:lineRule="auto"/>
        <w:tabs>
          <w:tab w:leader="none" w:pos="804"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Cashless Settlement</w:t>
      </w:r>
      <w:r>
        <w:rPr>
          <w:rFonts w:ascii="Arial" w:cs="Arial" w:eastAsia="Arial" w:hAnsi="Arial"/>
          <w:sz w:val="17"/>
          <w:szCs w:val="17"/>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65"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the Lenders and the Issuing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as to the extent required by Applicable Laws or regulations or in any legal, judicial or administrative proceeding or other compulsory process,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Borrowers and their respective obligations, this Agreement or payments hereunder, (g) on a confidential basis to (i) any rating agency in connection with rating the Consolidated Companies or the Credit Facility or (ii) the CUSIP Service Bureau or any similar agency in connection with the issuance and monitoring of CUSIP numbers with respect to the Credit Facility, (h) with the consent of Centuri, (i) to Gold Sheets and other similar bank trade publications, such information to consist of deal terms and other information customarily found in such publications,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Borrowers,</w:t>
      </w:r>
    </w:p>
    <w:p>
      <w:pPr>
        <w:spacing w:after="0" w:line="11" w:lineRule="exact"/>
        <w:rPr>
          <w:sz w:val="20"/>
          <w:szCs w:val="20"/>
          <w:color w:val="auto"/>
        </w:rPr>
      </w:pPr>
    </w:p>
    <w:p>
      <w:pPr>
        <w:ind w:left="4" w:hanging="4"/>
        <w:spacing w:after="0" w:line="267" w:lineRule="auto"/>
        <w:tabs>
          <w:tab w:leader="none" w:pos="25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 Administrative Agent or such Lender or any of its subsidiaries or affiliates, (l) to the extent that such information is independently developed by such Person, or (m) for purposes of establishing a “due diligence” defense. 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4"/>
          </w:cols>
          <w:pgMar w:left="436" w:top="274" w:right="459" w:bottom="1440" w:gutter="0" w:footer="0" w:header="0"/>
        </w:sectPr>
      </w:pPr>
    </w:p>
    <w:bookmarkStart w:id="172" w:name="page173"/>
    <w:bookmarkEnd w:id="172"/>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12.11 </w:t>
      </w:r>
      <w:r>
        <w:rPr>
          <w:rFonts w:ascii="Arial" w:cs="Arial" w:eastAsia="Arial" w:hAnsi="Arial"/>
          <w:sz w:val="18"/>
          <w:szCs w:val="18"/>
          <w:u w:val="single" w:color="auto"/>
          <w:color w:val="auto"/>
        </w:rPr>
        <w:t>Performance of Duties</w:t>
      </w:r>
      <w:r>
        <w:rPr>
          <w:rFonts w:ascii="Arial" w:cs="Arial" w:eastAsia="Arial" w:hAnsi="Arial"/>
          <w:sz w:val="18"/>
          <w:szCs w:val="18"/>
          <w:color w:val="auto"/>
        </w:rPr>
        <w:t>. Each of the Credit Party’s obligations under this Agreement and each of the other Loan Documents shall be performed by such Credit Party at its sole cost and expense.</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All Powers Coupled with Interest</w:t>
      </w:r>
      <w:r>
        <w:rPr>
          <w:rFonts w:ascii="Arial" w:cs="Arial" w:eastAsia="Arial" w:hAnsi="Arial"/>
          <w:sz w:val="18"/>
          <w:szCs w:val="18"/>
          <w:color w:val="auto"/>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295"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117" w:lineRule="exact"/>
        <w:rPr>
          <w:sz w:val="20"/>
          <w:szCs w:val="20"/>
          <w:color w:val="auto"/>
        </w:rPr>
      </w:pPr>
    </w:p>
    <w:p>
      <w:pPr>
        <w:ind w:firstLine="436"/>
        <w:spacing w:after="0" w:line="296" w:lineRule="auto"/>
        <w:tabs>
          <w:tab w:leader="none" w:pos="81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All representations and warranties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61" w:lineRule="exact"/>
        <w:rPr>
          <w:rFonts w:ascii="Arial" w:cs="Arial" w:eastAsia="Arial" w:hAnsi="Arial"/>
          <w:sz w:val="16"/>
          <w:szCs w:val="16"/>
          <w:color w:val="auto"/>
        </w:rPr>
      </w:pPr>
    </w:p>
    <w:p>
      <w:pPr>
        <w:ind w:right="220" w:firstLine="436"/>
        <w:spacing w:after="0" w:line="286" w:lineRule="auto"/>
        <w:tabs>
          <w:tab w:leader="none" w:pos="83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Notwithstanding any termination of this Agreement, the indemnities to which the Administrative Agent and the Lenders are entitled under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6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u w:val="single" w:color="auto"/>
          <w:color w:val="auto"/>
        </w:rPr>
        <w:t>Titles and Captions</w:t>
      </w:r>
      <w:r>
        <w:rPr>
          <w:rFonts w:ascii="Arial" w:cs="Arial" w:eastAsia="Arial" w:hAnsi="Arial"/>
          <w:sz w:val="18"/>
          <w:szCs w:val="18"/>
          <w:color w:val="auto"/>
        </w:rPr>
        <w:t>. Titles and captions of Articles, Sections and subsections in, and the table of contents of, this Agreement are for convenience only, and neither limit nor amplify the provisions of this Agreement.</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12.15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295"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w:t>
      </w:r>
    </w:p>
    <w:p>
      <w:pPr>
        <w:spacing w:after="0" w:line="117" w:lineRule="exact"/>
        <w:rPr>
          <w:sz w:val="20"/>
          <w:szCs w:val="20"/>
          <w:color w:val="auto"/>
        </w:rPr>
      </w:pPr>
    </w:p>
    <w:p>
      <w:pPr>
        <w:ind w:firstLine="436"/>
        <w:spacing w:after="0" w:line="290" w:lineRule="auto"/>
        <w:tabs>
          <w:tab w:leader="none" w:pos="82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the Issuing Lenders, the Swingline Lenders and/or the Arrangers,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6.1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00"/>
          </w:cols>
          <w:pgMar w:left="440" w:top="274" w:right="459" w:bottom="1440" w:gutter="0" w:footer="0" w:header="0"/>
        </w:sectPr>
      </w:pPr>
    </w:p>
    <w:bookmarkStart w:id="173" w:name="page174"/>
    <w:bookmarkEnd w:id="173"/>
    <w:p>
      <w:pPr>
        <w:ind w:firstLine="436"/>
        <w:spacing w:after="0" w:line="282" w:lineRule="auto"/>
        <w:tabs>
          <w:tab w:leader="none" w:pos="830"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Execution</w:t>
      </w:r>
      <w:r>
        <w:rPr>
          <w:rFonts w:ascii="Arial" w:cs="Arial" w:eastAsia="Arial" w:hAnsi="Arial"/>
          <w:sz w:val="16"/>
          <w:szCs w:val="16"/>
          <w:color w:val="auto"/>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w:t>
      </w:r>
    </w:p>
    <w:p>
      <w:pPr>
        <w:spacing w:after="0" w:line="10"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90"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 xml:space="preserve">SECTION 12.17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shall remain in effect from the Closing Date through and including the date upon which all Obligations (other than contingent indemnification obligations not then due) arising hereunder or under any other Loan Document shall have been indefeasibly and irrevocably paid and satisfied in full, all Letters of Credit have been terminated or expired (or been Cash Collateralized) or otherwise satisfied in a manner acceptable to the Issuing Lender) and the Revolving Credit Commitment has been terminated. No termination of this Agreement shall affect the rights and obligations of the parties hereto arising prior to such termination or in respect of any provision of this Agreement which survives such termination.</w:t>
      </w:r>
    </w:p>
    <w:p>
      <w:pPr>
        <w:spacing w:after="0" w:line="19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12.18 </w:t>
      </w:r>
      <w:r>
        <w:rPr>
          <w:rFonts w:ascii="Arial" w:cs="Arial" w:eastAsia="Arial" w:hAnsi="Arial"/>
          <w:sz w:val="17"/>
          <w:szCs w:val="17"/>
          <w:u w:val="single" w:color="auto"/>
          <w:color w:val="auto"/>
        </w:rPr>
        <w:t>USA PATRIOT Act; Anti-Money Laundering Laws</w:t>
      </w:r>
      <w:r>
        <w:rPr>
          <w:rFonts w:ascii="Arial" w:cs="Arial" w:eastAsia="Arial" w:hAnsi="Arial"/>
          <w:sz w:val="17"/>
          <w:szCs w:val="17"/>
          <w:color w:val="auto"/>
        </w:rPr>
        <w:t>. The Administrative Agent and each Lender hereby notifies the Borrowers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4" w:right="459" w:bottom="1440" w:gutter="0" w:footer="0" w:header="0"/>
        </w:sectPr>
      </w:pPr>
    </w:p>
    <w:bookmarkStart w:id="174" w:name="page175"/>
    <w:bookmarkEnd w:id="174"/>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12.19 </w:t>
      </w:r>
      <w:r>
        <w:rPr>
          <w:rFonts w:ascii="Arial" w:cs="Arial" w:eastAsia="Arial" w:hAnsi="Arial"/>
          <w:sz w:val="18"/>
          <w:szCs w:val="18"/>
          <w:u w:val="single" w:color="auto"/>
          <w:color w:val="auto"/>
        </w:rPr>
        <w:t>Independent Effect of Covenants</w:t>
      </w:r>
      <w:r>
        <w:rPr>
          <w:rFonts w:ascii="Arial" w:cs="Arial" w:eastAsia="Arial" w:hAnsi="Arial"/>
          <w:sz w:val="18"/>
          <w:szCs w:val="18"/>
          <w:color w:val="auto"/>
        </w:rPr>
        <w:t xml:space="preserve">. The Borrowers expressly acknowledge and agree that each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hereof shall be given independent effect. Accordingly, the Borrowers shall not engage in any transaction or other act otherwise permitted under any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before or after giving effect to such transaction or act, the Borrowers shall or would be in breach of any other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w:t>
      </w:r>
    </w:p>
    <w:p>
      <w:pPr>
        <w:spacing w:after="0" w:line="295"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12.20</w:t>
      </w:r>
      <w:r>
        <w:rPr>
          <w:sz w:val="20"/>
          <w:szCs w:val="20"/>
          <w:color w:val="auto"/>
        </w:rPr>
        <w:tab/>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w:t>
      </w:r>
    </w:p>
    <w:p>
      <w:pPr>
        <w:spacing w:after="0" w:line="117" w:lineRule="exact"/>
        <w:rPr>
          <w:sz w:val="20"/>
          <w:szCs w:val="20"/>
          <w:color w:val="auto"/>
        </w:rPr>
      </w:pPr>
    </w:p>
    <w:p>
      <w:pPr>
        <w:ind w:right="20" w:firstLine="436"/>
        <w:spacing w:after="0" w:line="285" w:lineRule="auto"/>
        <w:tabs>
          <w:tab w:leader="none" w:pos="82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their respective Affiliates, on the one hand, and the Administrative Agent, the Arrangers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Borrowers or any of their respective Affiliates, stockholders, creditors or employees or any other Person, (iii) none of the Administrative Agent, the Arrangers or the Lenders has assumed or will assume an advisory, agency or fiduciary responsibility in favor of the Borrowers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Borrowers or any of their respective Affiliates on other matters) and none of the Administrative Agent, the Arrangers or the Lenders has any obligation to the Borrowers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Borrowers and their respective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384" w:lineRule="exact"/>
        <w:rPr>
          <w:rFonts w:ascii="Arial" w:cs="Arial" w:eastAsia="Arial" w:hAnsi="Arial"/>
          <w:sz w:val="16"/>
          <w:szCs w:val="16"/>
          <w:color w:val="auto"/>
        </w:rPr>
      </w:pPr>
    </w:p>
    <w:p>
      <w:pPr>
        <w:ind w:firstLine="436"/>
        <w:spacing w:after="0" w:line="272" w:lineRule="auto"/>
        <w:tabs>
          <w:tab w:leader="none" w:pos="83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Each Credit Party acknowledges and agrees that each Lender, the Arrangers and any Affiliate thereof may lend money to, invest in, and generally engage in any kind of business with, any of the Borrowers,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Borrowers or any Affiliate of the foregoing. Each Lender, the Arrangers and any Affiliate thereof may accept fees and other consideration from the Borrowers or any Affiliate thereof for services in connection with this Agreement, the Credit Facilities or otherwise without having to account for the same to any other Lender, the Arrangers, the Borrowers or any Affiliate of the foregoing.</w:t>
      </w:r>
    </w:p>
    <w:p>
      <w:pPr>
        <w:spacing w:after="0" w:line="17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12.21 </w:t>
      </w:r>
      <w:r>
        <w:rPr>
          <w:rFonts w:ascii="Arial" w:cs="Arial" w:eastAsia="Arial" w:hAnsi="Arial"/>
          <w:sz w:val="18"/>
          <w:szCs w:val="18"/>
          <w:u w:val="single" w:color="auto"/>
          <w:color w:val="auto"/>
        </w:rPr>
        <w:t>Inconsistencies with Other Documents</w:t>
      </w:r>
      <w:r>
        <w:rPr>
          <w:rFonts w:ascii="Arial" w:cs="Arial" w:eastAsia="Arial" w:hAnsi="Arial"/>
          <w:sz w:val="18"/>
          <w:szCs w:val="18"/>
          <w:color w:val="auto"/>
        </w:rPr>
        <w:t xml:space="preserve">. In the event there is a conflict or inconsistency between this Agreement and any other Loan Document, the terms of this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provision of the Security Documents which imposes additional burdens on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0"/>
          </w:cols>
          <w:pgMar w:left="440" w:top="274" w:right="439" w:bottom="1440" w:gutter="0" w:footer="0" w:header="0"/>
        </w:sectPr>
      </w:pPr>
    </w:p>
    <w:bookmarkStart w:id="175" w:name="page176"/>
    <w:bookmarkEnd w:id="175"/>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Companies or further restricts the rights of the Consolidated Companies or gives the Administrative Agent or Lenders additional rights shall not be deemed to be in conflict or inconsistent with this Agreement and shall be given full force and effect.</w:t>
      </w:r>
    </w:p>
    <w:p>
      <w:pPr>
        <w:spacing w:after="0" w:line="170"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12.22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200" w:firstLine="436"/>
        <w:spacing w:after="0" w:line="277" w:lineRule="auto"/>
        <w:tabs>
          <w:tab w:leader="none" w:pos="8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180" w:firstLine="419"/>
        <w:spacing w:after="0" w:line="311" w:lineRule="auto"/>
        <w:tabs>
          <w:tab w:leader="none" w:pos="1263"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Documents; or</w:t>
      </w:r>
    </w:p>
    <w:p>
      <w:pPr>
        <w:spacing w:after="0" w:line="40" w:lineRule="exact"/>
        <w:rPr>
          <w:rFonts w:ascii="Arial" w:cs="Arial" w:eastAsia="Arial" w:hAnsi="Arial"/>
          <w:sz w:val="16"/>
          <w:szCs w:val="16"/>
          <w:color w:val="auto"/>
        </w:rPr>
      </w:pPr>
    </w:p>
    <w:p>
      <w:pPr>
        <w:ind w:left="440" w:right="20" w:firstLine="419"/>
        <w:spacing w:after="0" w:line="277" w:lineRule="auto"/>
        <w:tabs>
          <w:tab w:leader="none" w:pos="131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278"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12.23</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117" w:lineRule="exact"/>
        <w:rPr>
          <w:sz w:val="20"/>
          <w:szCs w:val="20"/>
          <w:color w:val="auto"/>
        </w:rPr>
      </w:pPr>
    </w:p>
    <w:p>
      <w:pPr>
        <w:ind w:right="60" w:firstLine="436"/>
        <w:spacing w:after="0" w:line="259" w:lineRule="auto"/>
        <w:tabs>
          <w:tab w:leader="none" w:pos="86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78" w:lineRule="exact"/>
        <w:rPr>
          <w:rFonts w:ascii="Arial" w:cs="Arial" w:eastAsia="Arial" w:hAnsi="Arial"/>
          <w:sz w:val="18"/>
          <w:szCs w:val="18"/>
          <w:color w:val="auto"/>
        </w:rPr>
      </w:pPr>
    </w:p>
    <w:p>
      <w:pPr>
        <w:ind w:left="440" w:firstLine="419"/>
        <w:spacing w:after="0" w:line="342" w:lineRule="auto"/>
        <w:tabs>
          <w:tab w:leader="none" w:pos="1258" w:val="left"/>
        </w:tabs>
        <w:numPr>
          <w:ilvl w:val="1"/>
          <w:numId w:val="249"/>
        </w:numPr>
        <w:rPr>
          <w:rFonts w:ascii="Arial" w:cs="Arial" w:eastAsia="Arial" w:hAnsi="Arial"/>
          <w:sz w:val="16"/>
          <w:szCs w:val="16"/>
          <w:color w:val="auto"/>
        </w:rPr>
      </w:pPr>
      <w:r>
        <w:rPr>
          <w:rFonts w:ascii="Arial" w:cs="Arial" w:eastAsia="Arial" w:hAnsi="Arial"/>
          <w:sz w:val="16"/>
          <w:szCs w:val="16"/>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spacing w:after="0" w:line="15" w:lineRule="exact"/>
        <w:rPr>
          <w:rFonts w:ascii="Arial" w:cs="Arial" w:eastAsia="Arial" w:hAnsi="Arial"/>
          <w:sz w:val="16"/>
          <w:szCs w:val="16"/>
          <w:color w:val="auto"/>
        </w:rPr>
      </w:pPr>
    </w:p>
    <w:p>
      <w:pPr>
        <w:ind w:left="440" w:right="60" w:firstLine="419"/>
        <w:spacing w:after="0" w:line="273" w:lineRule="auto"/>
        <w:tabs>
          <w:tab w:leader="none" w:pos="1308" w:val="left"/>
        </w:tabs>
        <w:numPr>
          <w:ilvl w:val="1"/>
          <w:numId w:val="249"/>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0"/>
          </w:cols>
          <w:pgMar w:left="440" w:top="274" w:right="459" w:bottom="1440" w:gutter="0" w:footer="0" w:header="0"/>
        </w:sectPr>
      </w:pPr>
    </w:p>
    <w:bookmarkStart w:id="176" w:name="page177"/>
    <w:bookmarkEnd w:id="176"/>
    <w:p>
      <w:pPr>
        <w:ind w:left="444" w:right="20" w:firstLine="419"/>
        <w:spacing w:after="0" w:line="254" w:lineRule="auto"/>
        <w:tabs>
          <w:tab w:leader="none" w:pos="1362" w:val="left"/>
        </w:tabs>
        <w:numPr>
          <w:ilvl w:val="2"/>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44" w:right="740" w:firstLine="419"/>
        <w:spacing w:after="0" w:line="277" w:lineRule="auto"/>
        <w:tabs>
          <w:tab w:leader="none" w:pos="1352" w:val="left"/>
        </w:tabs>
        <w:numPr>
          <w:ilvl w:val="2"/>
          <w:numId w:val="250"/>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right="40" w:firstLine="436"/>
        <w:spacing w:after="0" w:line="291" w:lineRule="auto"/>
        <w:tabs>
          <w:tab w:leader="none" w:pos="87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hanging="4"/>
        <w:spacing w:after="0" w:line="252" w:lineRule="auto"/>
        <w:tabs>
          <w:tab w:leader="none" w:pos="25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 xml:space="preserve">SECTION 12.24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xml:space="preserve">. To the extent that the Loan Documents </w:t>
      </w:r>
      <w:r>
        <w:rPr>
          <w:rFonts w:ascii="Arial" w:cs="Arial" w:eastAsia="Arial" w:hAnsi="Arial"/>
          <w:sz w:val="18"/>
          <w:szCs w:val="18"/>
          <w:u w:val="single" w:color="auto"/>
          <w:color w:val="auto"/>
        </w:rPr>
        <w:t>provide</w:t>
      </w:r>
      <w:r>
        <w:rPr>
          <w:rFonts w:ascii="Arial" w:cs="Arial" w:eastAsia="Arial" w:hAnsi="Arial"/>
          <w:sz w:val="18"/>
          <w:szCs w:val="18"/>
          <w:color w:val="auto"/>
        </w:rPr>
        <w:t xml:space="preserv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ind w:left="4" w:firstLine="436"/>
        <w:spacing w:after="0" w:line="269" w:lineRule="auto"/>
        <w:tabs>
          <w:tab w:leader="none" w:pos="82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964"/>
          </w:cols>
          <w:pgMar w:left="436" w:top="274" w:right="499" w:bottom="1440" w:gutter="0" w:footer="0" w:header="0"/>
        </w:sectPr>
      </w:pPr>
    </w:p>
    <w:bookmarkStart w:id="177" w:name="page178"/>
    <w:bookmarkEnd w:id="177"/>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it is understood and agreed that rights and remedies of the parties with respect to a Defaulting Lender shall in no event affect the rights of any Covered Party with respect to a Supported QFC or any QFC Credit Support.</w:t>
      </w:r>
    </w:p>
    <w:p>
      <w:pPr>
        <w:spacing w:after="0" w:line="170"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 xml:space="preserve">As used in this </w:t>
      </w:r>
      <w:r>
        <w:rPr>
          <w:rFonts w:ascii="Arial" w:cs="Arial" w:eastAsia="Arial" w:hAnsi="Arial"/>
          <w:sz w:val="16"/>
          <w:szCs w:val="16"/>
          <w:u w:val="single" w:color="auto"/>
          <w:color w:val="auto"/>
        </w:rPr>
        <w:t>Section 12.24</w:t>
      </w:r>
      <w:r>
        <w:rPr>
          <w:rFonts w:ascii="Arial" w:cs="Arial" w:eastAsia="Arial" w:hAnsi="Arial"/>
          <w:sz w:val="16"/>
          <w:szCs w:val="16"/>
          <w:color w:val="auto"/>
        </w:rPr>
        <w:t>, the following terms have the following meanings:</w:t>
      </w:r>
    </w:p>
    <w:p>
      <w:pPr>
        <w:spacing w:after="0" w:line="117"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1740" w:hanging="352"/>
        <w:spacing w:after="0"/>
        <w:tabs>
          <w:tab w:leader="none" w:pos="17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840" w:hanging="452"/>
        <w:spacing w:after="0"/>
        <w:tabs>
          <w:tab w:leader="none" w:pos="18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440"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(8)(D).</w:t>
      </w:r>
    </w:p>
    <w:p>
      <w:pPr>
        <w:spacing w:after="0" w:line="21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SECTION 12.25 </w:t>
      </w:r>
      <w:r>
        <w:rPr>
          <w:rFonts w:ascii="Arial" w:cs="Arial" w:eastAsia="Arial" w:hAnsi="Arial"/>
          <w:sz w:val="17"/>
          <w:szCs w:val="17"/>
          <w:u w:val="single" w:color="auto"/>
          <w:color w:val="auto"/>
        </w:rPr>
        <w:t>Amendment and Restatement; No Novation</w:t>
      </w:r>
      <w:r>
        <w:rPr>
          <w:rFonts w:ascii="Arial" w:cs="Arial" w:eastAsia="Arial" w:hAnsi="Arial"/>
          <w:sz w:val="17"/>
          <w:szCs w:val="17"/>
          <w:color w:val="auto"/>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any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Commitments of the Lenders hereunder.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pages to follow</w:t>
      </w: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00"/>
          </w:cols>
          <w:pgMar w:left="440" w:top="274" w:right="459" w:bottom="1440" w:gutter="0" w:footer="0" w:header="0"/>
        </w:sectPr>
      </w:pPr>
    </w:p>
    <w:bookmarkStart w:id="178" w:name="page179"/>
    <w:bookmarkEnd w:id="17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under seal by their duly authorized officers, all as of the day and year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CENTURI GROUP, INC., as Borrower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Kevin L. Neill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CENTURI CANADA DIVISION INC., as Borrower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L.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Kevin L. Neill</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Treasurer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Centuri Group,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Second Amended and Restated Credit Agreement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900"/>
          </w:cols>
          <w:pgMar w:left="440" w:top="274" w:right="559" w:bottom="1440" w:gutter="0" w:footer="0" w:header="0"/>
        </w:sectPr>
      </w:pPr>
    </w:p>
    <w:bookmarkStart w:id="179" w:name="page180"/>
    <w:bookmarkEnd w:id="17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AND LENDERS: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Administrative Agent, Swingline Lender, Issuing Lender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Chet Samuelson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Chet Samuelson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Centuri Group, Inc.</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900"/>
          </w:cols>
          <w:pgMar w:left="1440" w:top="274" w:right="559" w:bottom="1440" w:gutter="0" w:footer="0" w:header="0"/>
        </w:sectPr>
      </w:pPr>
    </w:p>
    <w:bookmarkStart w:id="180" w:name="page181"/>
    <w:bookmarkEnd w:id="18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 Lender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Alain Pelanne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Alain Pelanne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BANK OF AMERICA, N.A., Canada Branch as Lender</w:t>
      </w:r>
    </w:p>
    <w:p>
      <w:pPr>
        <w:spacing w:after="0" w:line="248"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Sylwia Durkiewicz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Sylwia Durkiewicz</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Centuri Group, Inc.</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60"/>
          </w:cols>
          <w:pgMar w:left="1440" w:top="274" w:right="799" w:bottom="1440" w:gutter="0" w:footer="0" w:header="0"/>
        </w:sectPr>
      </w:pPr>
    </w:p>
    <w:bookmarkStart w:id="181" w:name="page182"/>
    <w:bookmarkEnd w:id="18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CANADIAN IMPERIAL BANK OF COMMERCE,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Swingline Lender, Issuing Lender and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 Spagnoletti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Josh Spagnoletti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James Day</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Centuri Group, Inc.</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00"/>
          </w:cols>
          <w:pgMar w:left="1440" w:top="274" w:right="859" w:bottom="1440" w:gutter="0" w:footer="0" w:header="0"/>
        </w:sectPr>
      </w:pPr>
    </w:p>
    <w:bookmarkStart w:id="182" w:name="page183"/>
    <w:bookmarkEnd w:id="18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 as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Kyle Steinbuch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Kyle Steinbuch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Centuri Group, Inc.</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40"/>
          </w:cols>
          <w:pgMar w:left="1440" w:top="274" w:right="919" w:bottom="1440" w:gutter="0" w:footer="0" w:header="0"/>
        </w:sectPr>
      </w:pPr>
    </w:p>
    <w:bookmarkStart w:id="183" w:name="page184"/>
    <w:bookmarkEnd w:id="18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BANK, as Lender</w:t>
      </w:r>
    </w:p>
    <w:p>
      <w:pPr>
        <w:spacing w:after="0" w:line="237" w:lineRule="exact"/>
        <w:rPr>
          <w:sz w:val="20"/>
          <w:szCs w:val="20"/>
          <w:color w:val="auto"/>
        </w:rPr>
      </w:pPr>
    </w:p>
    <w:p>
      <w:pPr>
        <w:jc w:val="both"/>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F.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Thomas F. Parrott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Centuri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4" w:right="1440" w:bottom="1440" w:gutter="0" w:footer="0" w:header="0"/>
        </w:sectPr>
      </w:pPr>
    </w:p>
    <w:bookmarkStart w:id="184" w:name="page185"/>
    <w:bookmarkEnd w:id="18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 as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 Eyerman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M. Eyerman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Centuri Group, Inc.</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460"/>
          </w:cols>
          <w:pgMar w:left="1440" w:top="274" w:right="999" w:bottom="1440" w:gutter="0" w:footer="0" w:header="0"/>
        </w:sectPr>
      </w:pPr>
    </w:p>
    <w:bookmarkStart w:id="185" w:name="page186"/>
    <w:bookmarkEnd w:id="18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MONTREAL, as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M. Dillon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Centuri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1)"/>
      <w:numFmt w:val="lowerLetter"/>
      <w:start w:val="2"/>
    </w:lvl>
  </w:abstractNum>
  <w:abstractNum w:abstractNumId="3">
    <w:nsid w:val="2A082C70"/>
    <w:multiLevelType w:val="hybridMultilevel"/>
    <w:lvl w:ilvl="0">
      <w:lvlJc w:val="left"/>
      <w:lvlText w:val="(%1)"/>
      <w:numFmt w:val="lowerRoman"/>
      <w:start w:val="1"/>
    </w:lvl>
  </w:abstractNum>
  <w:abstractNum w:abstractNumId="4">
    <w:nsid w:val="5EC6AFD4"/>
    <w:multiLevelType w:val="hybridMultilevel"/>
    <w:lvl w:ilvl="0">
      <w:lvlJc w:val="left"/>
      <w:lvlText w:val="(%1)"/>
      <w:numFmt w:val="lowerLetter"/>
      <w:start w:val="1"/>
    </w:lvl>
  </w:abstractNum>
  <w:abstractNum w:abstractNumId="5">
    <w:nsid w:val="19E21BB2"/>
    <w:multiLevelType w:val="hybridMultilevel"/>
    <w:lvl w:ilvl="0">
      <w:lvlJc w:val="left"/>
      <w:lvlText w:val="(%1)"/>
      <w:numFmt w:val="lowerLetter"/>
      <w:start w:val="1"/>
    </w:lvl>
  </w:abstractNum>
  <w:abstractNum w:abstractNumId="6">
    <w:nsid w:val="75E0858A"/>
    <w:multiLevelType w:val="hybridMultilevel"/>
    <w:lvl w:ilvl="0">
      <w:lvlJc w:val="left"/>
      <w:lvlText w:val="(%1)"/>
      <w:numFmt w:val="lowerLetter"/>
      <w:start w:val="1"/>
    </w:lvl>
    <w:lvl w:ilvl="1">
      <w:lvlJc w:val="left"/>
      <w:lvlText w:val="(%2)"/>
      <w:numFmt w:val="decimal"/>
      <w:start w:val="1"/>
    </w:lvl>
  </w:abstractNum>
  <w:abstractNum w:abstractNumId="7">
    <w:nsid w:val="57A61A29"/>
    <w:multiLevelType w:val="hybridMultilevel"/>
    <w:lvl w:ilvl="0">
      <w:lvlJc w:val="left"/>
      <w:lvlText w:val="%1"/>
      <w:numFmt w:val="lowerLetter"/>
      <w:start w:val="1"/>
    </w:lvl>
    <w:lvl w:ilvl="1">
      <w:lvlJc w:val="left"/>
      <w:lvlText w:val="(%2)"/>
      <w:numFmt w:val="decimal"/>
      <w:start w:val="3"/>
    </w:lvl>
  </w:abstractNum>
  <w:abstractNum w:abstractNumId="8">
    <w:nsid w:val="5399C654"/>
    <w:multiLevelType w:val="hybridMultilevel"/>
    <w:lvl w:ilvl="0">
      <w:lvlJc w:val="left"/>
      <w:lvlText w:val="(%1)"/>
      <w:numFmt w:val="lowerLetter"/>
      <w:start w:val="2"/>
    </w:lvl>
    <w:lvl w:ilvl="1">
      <w:lvlJc w:val="left"/>
      <w:lvlText w:val="%2"/>
      <w:numFmt w:val="decimal"/>
      <w:start w:val="1"/>
    </w:lvl>
  </w:abstractNum>
  <w:abstractNum w:abstractNumId="9">
    <w:nsid w:val="20EE1348"/>
    <w:multiLevelType w:val="hybridMultilevel"/>
    <w:lvl w:ilvl="0">
      <w:lvlJc w:val="left"/>
      <w:lvlText w:val="(%1)"/>
      <w:numFmt w:val="decimal"/>
      <w:start w:val="1"/>
    </w:lvl>
  </w:abstractNum>
  <w:abstractNum w:abstractNumId="10">
    <w:nsid w:val="4427069A"/>
    <w:multiLevelType w:val="hybridMultilevel"/>
    <w:lvl w:ilvl="0">
      <w:lvlJc w:val="left"/>
      <w:lvlText w:val="(%1)"/>
      <w:numFmt w:val="lowerLetter"/>
      <w:start w:val="1"/>
    </w:lvl>
  </w:abstractNum>
  <w:abstractNum w:abstractNumId="11">
    <w:nsid w:val="B37E80A"/>
    <w:multiLevelType w:val="hybridMultilevel"/>
    <w:lvl w:ilvl="0">
      <w:lvlJc w:val="left"/>
      <w:lvlText w:val="(%1)"/>
      <w:numFmt w:val="lowerLetter"/>
      <w:start w:val="1"/>
    </w:lvl>
  </w:abstractNum>
  <w:abstractNum w:abstractNumId="12">
    <w:nsid w:val="2157F6BC"/>
    <w:multiLevelType w:val="hybridMultilevel"/>
    <w:lvl w:ilvl="0">
      <w:lvlJc w:val="left"/>
      <w:lvlText w:val="(%1)"/>
      <w:numFmt w:val="lowerLetter"/>
      <w:start w:val="3"/>
    </w:lvl>
  </w:abstractNum>
  <w:abstractNum w:abstractNumId="13">
    <w:nsid w:val="704E1DD5"/>
    <w:multiLevelType w:val="hybridMultilevel"/>
    <w:lvl w:ilvl="0">
      <w:lvlJc w:val="left"/>
      <w:lvlText w:val="(%1)"/>
      <w:numFmt w:val="lowerLetter"/>
      <w:start w:val="1"/>
    </w:lvl>
  </w:abstractNum>
  <w:abstractNum w:abstractNumId="14">
    <w:nsid w:val="57D2F10E"/>
    <w:multiLevelType w:val="hybridMultilevel"/>
    <w:lvl w:ilvl="0">
      <w:lvlJc w:val="left"/>
      <w:lvlText w:val="(%1)"/>
      <w:numFmt w:val="lowerLetter"/>
      <w:start w:val="1"/>
    </w:lvl>
  </w:abstractNum>
  <w:abstractNum w:abstractNumId="15">
    <w:nsid w:val="BFFAE18"/>
    <w:multiLevelType w:val="hybridMultilevel"/>
    <w:lvl w:ilvl="0">
      <w:lvlJc w:val="left"/>
      <w:lvlText w:val="(%1)"/>
      <w:numFmt w:val="lowerLetter"/>
      <w:start w:val="3"/>
    </w:lvl>
  </w:abstractNum>
  <w:abstractNum w:abstractNumId="16">
    <w:nsid w:val="E3E47A8"/>
    <w:multiLevelType w:val="hybridMultilevel"/>
    <w:lvl w:ilvl="0">
      <w:lvlJc w:val="left"/>
      <w:lvlText w:val="(%1)"/>
      <w:numFmt w:val="lowerLetter"/>
      <w:start w:val="2"/>
    </w:lvl>
  </w:abstractNum>
  <w:abstractNum w:abstractNumId="17">
    <w:nsid w:val="2E48F044"/>
    <w:multiLevelType w:val="hybridMultilevel"/>
    <w:lvl w:ilvl="0">
      <w:lvlJc w:val="left"/>
      <w:lvlText w:val="(%1)"/>
      <w:numFmt w:val="decimal"/>
      <w:start w:val="6"/>
    </w:lvl>
  </w:abstractNum>
  <w:abstractNum w:abstractNumId="18">
    <w:nsid w:val="49D0FEAC"/>
    <w:multiLevelType w:val="hybridMultilevel"/>
    <w:lvl w:ilvl="0">
      <w:lvlJc w:val="left"/>
      <w:lvlText w:val="(%1)"/>
      <w:numFmt w:val="decimal"/>
      <w:start w:val="270"/>
    </w:lvl>
  </w:abstractNum>
  <w:abstractNum w:abstractNumId="19">
    <w:nsid w:val="4BEE5A5B"/>
    <w:multiLevelType w:val="hybridMultilevel"/>
    <w:lvl w:ilvl="0">
      <w:lvlJc w:val="left"/>
      <w:lvlText w:val="(%1)"/>
      <w:numFmt w:val="lowerLetter"/>
      <w:start w:val="4"/>
    </w:lvl>
  </w:abstractNum>
  <w:abstractNum w:abstractNumId="20">
    <w:nsid w:val="5551B9F3"/>
    <w:multiLevelType w:val="hybridMultilevel"/>
    <w:lvl w:ilvl="0">
      <w:lvlJc w:val="left"/>
      <w:lvlText w:val="(%1)"/>
      <w:numFmt w:val="lowerLetter"/>
      <w:start w:val="1"/>
    </w:lvl>
    <w:lvl w:ilvl="1">
      <w:lvlJc w:val="left"/>
      <w:lvlText w:val="(%2)"/>
      <w:numFmt w:val="lowerRoman"/>
      <w:start w:val="1"/>
    </w:lvl>
  </w:abstractNum>
  <w:abstractNum w:abstractNumId="21">
    <w:nsid w:val="24F6AB8E"/>
    <w:multiLevelType w:val="hybridMultilevel"/>
    <w:lvl w:ilvl="0">
      <w:lvlJc w:val="left"/>
      <w:lvlText w:val="(%1)"/>
      <w:numFmt w:val="decimal"/>
      <w:start w:val="6"/>
    </w:lvl>
    <w:lvl w:ilvl="1">
      <w:lvlJc w:val="left"/>
      <w:lvlText w:val="(%2)"/>
      <w:numFmt w:val="lowerRoman"/>
      <w:start w:val="10"/>
    </w:lvl>
  </w:abstractNum>
  <w:abstractNum w:abstractNumId="22">
    <w:nsid w:val="634C574C"/>
    <w:multiLevelType w:val="hybridMultilevel"/>
    <w:lvl w:ilvl="0">
      <w:lvlJc w:val="left"/>
      <w:lvlText w:val="(%1)"/>
      <w:numFmt w:val="lowerLetter"/>
      <w:start w:val="3"/>
    </w:lvl>
    <w:lvl w:ilvl="1">
      <w:lvlJc w:val="left"/>
      <w:lvlText w:val="(%2)"/>
      <w:numFmt w:val="lowerRoman"/>
      <w:start w:val="1"/>
    </w:lvl>
  </w:abstractNum>
  <w:abstractNum w:abstractNumId="23">
    <w:nsid w:val="24E99DD7"/>
    <w:multiLevelType w:val="hybridMultilevel"/>
    <w:lvl w:ilvl="0">
      <w:lvlJc w:val="left"/>
      <w:lvlText w:val="(%1)"/>
      <w:numFmt w:val="lowerLetter"/>
      <w:start w:val="3"/>
    </w:lvl>
  </w:abstractNum>
  <w:abstractNum w:abstractNumId="24">
    <w:nsid w:val="2A31B62D"/>
    <w:multiLevelType w:val="hybridMultilevel"/>
    <w:lvl w:ilvl="0">
      <w:lvlJc w:val="left"/>
      <w:lvlText w:val="(%1)"/>
      <w:numFmt w:val="lowerLetter"/>
      <w:start w:val="2"/>
    </w:lvl>
  </w:abstractNum>
  <w:abstractNum w:abstractNumId="25">
    <w:nsid w:val="1849C29B"/>
    <w:multiLevelType w:val="hybridMultilevel"/>
    <w:lvl w:ilvl="0">
      <w:lvlJc w:val="left"/>
      <w:lvlText w:val="(%1)"/>
      <w:numFmt w:val="lowerLetter"/>
      <w:start w:val="1"/>
    </w:lvl>
  </w:abstractNum>
  <w:abstractNum w:abstractNumId="26">
    <w:nsid w:val="7DFF9D09"/>
    <w:multiLevelType w:val="hybridMultilevel"/>
    <w:lvl w:ilvl="0">
      <w:lvlJc w:val="left"/>
      <w:lvlText w:val="(%1)"/>
      <w:numFmt w:val="lowerLetter"/>
      <w:start w:val="1"/>
    </w:lvl>
    <w:lvl w:ilvl="1">
      <w:lvlJc w:val="left"/>
      <w:lvlText w:val="(%2)"/>
      <w:numFmt w:val="lowerRoman"/>
      <w:start w:val="1"/>
    </w:lvl>
  </w:abstractNum>
  <w:abstractNum w:abstractNumId="27">
    <w:nsid w:val="754342"/>
    <w:multiLevelType w:val="hybridMultilevel"/>
    <w:lvl w:ilvl="0">
      <w:lvlJc w:val="left"/>
      <w:lvlText w:val="(%1)"/>
      <w:numFmt w:val="lowerLetter"/>
      <w:start w:val="2"/>
    </w:lvl>
    <w:lvl w:ilvl="1">
      <w:lvlJc w:val="left"/>
      <w:lvlText w:val="(%2)"/>
      <w:numFmt w:val="lowerRoman"/>
      <w:start w:val="1"/>
    </w:lvl>
  </w:abstractNum>
  <w:abstractNum w:abstractNumId="28">
    <w:nsid w:val="69E7F3E5"/>
    <w:multiLevelType w:val="hybridMultilevel"/>
    <w:lvl w:ilvl="0">
      <w:lvlJc w:val="left"/>
      <w:lvlText w:val="(%1)"/>
      <w:numFmt w:val="lowerRoman"/>
      <w:start w:val="3"/>
    </w:lvl>
  </w:abstractNum>
  <w:abstractNum w:abstractNumId="29">
    <w:nsid w:val="2A6DE806"/>
    <w:multiLevelType w:val="hybridMultilevel"/>
    <w:lvl w:ilvl="0">
      <w:lvlJc w:val="left"/>
      <w:lvlText w:val="(%1)"/>
      <w:numFmt w:val="lowerLetter"/>
      <w:start w:val="2"/>
    </w:lvl>
  </w:abstractNum>
  <w:abstractNum w:abstractNumId="30">
    <w:nsid w:val="1816F8C4"/>
    <w:multiLevelType w:val="hybridMultilevel"/>
    <w:lvl w:ilvl="0">
      <w:lvlJc w:val="left"/>
      <w:lvlText w:val="(%1)"/>
      <w:numFmt w:val="lowerLetter"/>
      <w:start w:val="1"/>
    </w:lvl>
    <w:lvl w:ilvl="1">
      <w:lvlJc w:val="left"/>
      <w:lvlText w:val="(%2)"/>
      <w:numFmt w:val="lowerLetter"/>
      <w:start w:val="2"/>
    </w:lvl>
  </w:abstractNum>
  <w:abstractNum w:abstractNumId="31">
    <w:nsid w:val="37DF2233"/>
    <w:multiLevelType w:val="hybridMultilevel"/>
    <w:lvl w:ilvl="0">
      <w:lvlJc w:val="left"/>
      <w:lvlText w:val="(%1)"/>
      <w:numFmt w:val="lowerLetter"/>
      <w:start w:val="3"/>
    </w:lvl>
  </w:abstractNum>
  <w:abstractNum w:abstractNumId="32">
    <w:nsid w:val="7AB49DAF"/>
    <w:multiLevelType w:val="hybridMultilevel"/>
    <w:lvl w:ilvl="0">
      <w:lvlJc w:val="left"/>
      <w:lvlText w:val="(%1)"/>
      <w:numFmt w:val="lowerLetter"/>
      <w:start w:val="1"/>
    </w:lvl>
  </w:abstractNum>
  <w:abstractNum w:abstractNumId="33">
    <w:nsid w:val="759F82CD"/>
    <w:multiLevelType w:val="hybridMultilevel"/>
    <w:lvl w:ilvl="0">
      <w:lvlJc w:val="left"/>
      <w:lvlText w:val="(%1)"/>
      <w:numFmt w:val="lowerLetter"/>
      <w:start w:val="1"/>
    </w:lvl>
  </w:abstractNum>
  <w:abstractNum w:abstractNumId="34">
    <w:nsid w:val="61E74EA3"/>
    <w:multiLevelType w:val="hybridMultilevel"/>
    <w:lvl w:ilvl="0">
      <w:lvlJc w:val="left"/>
      <w:lvlText w:val="(%1)"/>
      <w:numFmt w:val="lowerLetter"/>
      <w:start w:val="2"/>
    </w:lvl>
  </w:abstractNum>
  <w:abstractNum w:abstractNumId="35">
    <w:nsid w:val="597B4D84"/>
    <w:multiLevelType w:val="hybridMultilevel"/>
    <w:lvl w:ilvl="0">
      <w:lvlJc w:val="left"/>
      <w:lvlText w:val="(%1)"/>
      <w:numFmt w:val="lowerRoman"/>
      <w:start w:val="2"/>
    </w:lvl>
  </w:abstractNum>
  <w:abstractNum w:abstractNumId="36">
    <w:nsid w:val="F819E7F"/>
    <w:multiLevelType w:val="hybridMultilevel"/>
    <w:lvl w:ilvl="0">
      <w:lvlJc w:val="left"/>
      <w:lvlText w:val="(%1)"/>
      <w:numFmt w:val="lowerLetter"/>
      <w:start w:val="1"/>
    </w:lvl>
  </w:abstractNum>
  <w:abstractNum w:abstractNumId="37">
    <w:nsid w:val="57C7D42D"/>
    <w:multiLevelType w:val="hybridMultilevel"/>
    <w:lvl w:ilvl="0">
      <w:lvlJc w:val="left"/>
      <w:lvlText w:val="(%1)"/>
      <w:numFmt w:val="lowerLetter"/>
      <w:start w:val="8"/>
    </w:lvl>
  </w:abstractNum>
  <w:abstractNum w:abstractNumId="38">
    <w:nsid w:val="312167AD"/>
    <w:multiLevelType w:val="hybridMultilevel"/>
    <w:lvl w:ilvl="0">
      <w:lvlJc w:val="left"/>
      <w:lvlText w:val="(%1)"/>
      <w:numFmt w:val="lowerLetter"/>
      <w:start w:val="2"/>
    </w:lvl>
  </w:abstractNum>
  <w:abstractNum w:abstractNumId="39">
    <w:nsid w:val="631B64D4"/>
    <w:multiLevelType w:val="hybridMultilevel"/>
    <w:lvl w:ilvl="0">
      <w:lvlJc w:val="left"/>
      <w:lvlText w:val="(%1)"/>
      <w:numFmt w:val="lowerLetter"/>
      <w:start w:val="1"/>
    </w:lvl>
  </w:abstractNum>
  <w:abstractNum w:abstractNumId="40">
    <w:nsid w:val="78B5E776"/>
    <w:multiLevelType w:val="hybridMultilevel"/>
    <w:lvl w:ilvl="0">
      <w:lvlJc w:val="left"/>
      <w:lvlText w:val="(%1)"/>
      <w:numFmt w:val="lowerLetter"/>
      <w:start w:val="9"/>
    </w:lvl>
  </w:abstractNum>
  <w:abstractNum w:abstractNumId="41">
    <w:nsid w:val="75486E47"/>
    <w:multiLevelType w:val="hybridMultilevel"/>
    <w:lvl w:ilvl="0">
      <w:lvlJc w:val="left"/>
      <w:lvlText w:val="(%1)"/>
      <w:numFmt w:val="lowerLetter"/>
      <w:start w:val="2"/>
    </w:lvl>
  </w:abstractNum>
  <w:abstractNum w:abstractNumId="42">
    <w:nsid w:val="6E534CDE"/>
    <w:multiLevelType w:val="hybridMultilevel"/>
    <w:lvl w:ilvl="0">
      <w:lvlJc w:val="left"/>
      <w:lvlText w:val="(%1)"/>
      <w:numFmt w:val="lowerLetter"/>
      <w:start w:val="1"/>
    </w:lvl>
  </w:abstractNum>
  <w:abstractNum w:abstractNumId="43">
    <w:nsid w:val="1A0DDE32"/>
    <w:multiLevelType w:val="hybridMultilevel"/>
    <w:lvl w:ilvl="0">
      <w:lvlJc w:val="left"/>
      <w:lvlText w:val="(%1)"/>
      <w:numFmt w:val="lowerLetter"/>
      <w:start w:val="1"/>
    </w:lvl>
  </w:abstractNum>
  <w:abstractNum w:abstractNumId="44">
    <w:nsid w:val="65968C1C"/>
    <w:multiLevelType w:val="hybridMultilevel"/>
    <w:lvl w:ilvl="0">
      <w:lvlJc w:val="left"/>
      <w:lvlText w:val="(%1)"/>
      <w:numFmt w:val="lowerLetter"/>
      <w:start w:val="1"/>
    </w:lvl>
  </w:abstractNum>
  <w:abstractNum w:abstractNumId="45">
    <w:nsid w:val="46263DEC"/>
    <w:multiLevelType w:val="hybridMultilevel"/>
    <w:lvl w:ilvl="0">
      <w:lvlJc w:val="left"/>
      <w:lvlText w:val="(%1)"/>
      <w:numFmt w:val="lowerLetter"/>
      <w:start w:val="2"/>
    </w:lvl>
  </w:abstractNum>
  <w:abstractNum w:abstractNumId="46">
    <w:nsid w:val="260D8C4A"/>
    <w:multiLevelType w:val="hybridMultilevel"/>
    <w:lvl w:ilvl="0">
      <w:lvlJc w:val="left"/>
      <w:lvlText w:val="(%1)"/>
      <w:numFmt w:val="lowerLetter"/>
      <w:start w:val="2"/>
    </w:lvl>
  </w:abstractNum>
  <w:abstractNum w:abstractNumId="47">
    <w:nsid w:val="73D4D3C4"/>
    <w:multiLevelType w:val="hybridMultilevel"/>
    <w:lvl w:ilvl="0">
      <w:lvlJc w:val="left"/>
      <w:lvlText w:val="(%1)"/>
      <w:numFmt w:val="lowerLetter"/>
      <w:start w:val="1"/>
    </w:lvl>
  </w:abstractNum>
  <w:abstractNum w:abstractNumId="48">
    <w:nsid w:val="746F2E30"/>
    <w:multiLevelType w:val="hybridMultilevel"/>
    <w:lvl w:ilvl="0">
      <w:lvlJc w:val="left"/>
      <w:lvlText w:val="%1"/>
      <w:numFmt w:val="lowerLetter"/>
      <w:start w:val="1"/>
    </w:lvl>
    <w:lvl w:ilvl="1">
      <w:lvlJc w:val="left"/>
      <w:lvlText w:val="(%2)"/>
      <w:numFmt w:val="lowerLetter"/>
      <w:start w:val="4"/>
    </w:lvl>
  </w:abstractNum>
  <w:abstractNum w:abstractNumId="49">
    <w:nsid w:val="6FDE8AF6"/>
    <w:multiLevelType w:val="hybridMultilevel"/>
    <w:lvl w:ilvl="0">
      <w:lvlJc w:val="left"/>
      <w:lvlText w:val="(%1)"/>
      <w:numFmt w:val="lowerLetter"/>
      <w:start w:val="9"/>
    </w:lvl>
    <w:lvl w:ilvl="1">
      <w:lvlJc w:val="left"/>
      <w:lvlText w:val="%2"/>
      <w:numFmt w:val="lowerLetter"/>
      <w:start w:val="1"/>
    </w:lvl>
  </w:abstractNum>
  <w:abstractNum w:abstractNumId="50">
    <w:nsid w:val="3FC32E20"/>
    <w:multiLevelType w:val="hybridMultilevel"/>
    <w:lvl w:ilvl="0">
      <w:lvlJc w:val="left"/>
      <w:lvlText w:val="(%1)"/>
      <w:numFmt w:val="lowerLetter"/>
      <w:start w:val="1"/>
    </w:lvl>
    <w:lvl w:ilvl="1">
      <w:lvlJc w:val="left"/>
      <w:lvlText w:val="(%2)"/>
      <w:numFmt w:val="lowerRoman"/>
      <w:start w:val="1"/>
    </w:lvl>
  </w:abstractNum>
  <w:abstractNum w:abstractNumId="51">
    <w:nsid w:val="49C0E823"/>
    <w:multiLevelType w:val="hybridMultilevel"/>
    <w:lvl w:ilvl="0">
      <w:lvlJc w:val="left"/>
      <w:lvlText w:val="%1"/>
      <w:numFmt w:val="lowerLetter"/>
      <w:start w:val="1"/>
    </w:lvl>
    <w:lvl w:ilvl="1">
      <w:lvlJc w:val="left"/>
      <w:lvlText w:val="(%2)"/>
      <w:numFmt w:val="lowerLetter"/>
      <w:start w:val="61"/>
    </w:lvl>
  </w:abstractNum>
  <w:abstractNum w:abstractNumId="52">
    <w:nsid w:val="14D53685"/>
    <w:multiLevelType w:val="hybridMultilevel"/>
    <w:lvl w:ilvl="0">
      <w:lvlJc w:val="left"/>
      <w:lvlText w:val="(%1)"/>
      <w:numFmt w:val="lowerLetter"/>
      <w:start w:val="3"/>
    </w:lvl>
    <w:lvl w:ilvl="1">
      <w:lvlJc w:val="left"/>
      <w:lvlText w:val="%2"/>
      <w:numFmt w:val="lowerLetter"/>
      <w:start w:val="1"/>
    </w:lvl>
  </w:abstractNum>
  <w:abstractNum w:abstractNumId="53">
    <w:nsid w:val="230F856C"/>
    <w:multiLevelType w:val="hybridMultilevel"/>
    <w:lvl w:ilvl="0">
      <w:lvlJc w:val="left"/>
      <w:lvlText w:val="%1"/>
      <w:numFmt w:val="lowerLetter"/>
      <w:start w:val="1"/>
    </w:lvl>
    <w:lvl w:ilvl="1">
      <w:lvlJc w:val="left"/>
      <w:lvlText w:val="(%2)"/>
      <w:numFmt w:val="lowerLetter"/>
      <w:start w:val="1"/>
    </w:lvl>
  </w:abstractNum>
  <w:abstractNum w:abstractNumId="54">
    <w:nsid w:val="6EAA85FB"/>
    <w:multiLevelType w:val="hybridMultilevel"/>
    <w:lvl w:ilvl="0">
      <w:lvlJc w:val="left"/>
      <w:lvlText w:val="(%1)"/>
      <w:numFmt w:val="lowerLetter"/>
      <w:start w:val="61"/>
    </w:lvl>
    <w:lvl w:ilvl="1">
      <w:lvlJc w:val="left"/>
      <w:lvlText w:val="%2"/>
      <w:numFmt w:val="lowerLetter"/>
      <w:start w:val="1"/>
    </w:lvl>
  </w:abstractNum>
  <w:abstractNum w:abstractNumId="55">
    <w:nsid w:val="3F06ECB2"/>
    <w:multiLevelType w:val="hybridMultilevel"/>
    <w:lvl w:ilvl="0">
      <w:lvlJc w:val="left"/>
      <w:lvlText w:val="(%1)"/>
      <w:numFmt w:val="lowerLetter"/>
      <w:start w:val="24"/>
    </w:lvl>
    <w:lvl w:ilvl="1">
      <w:lvlJc w:val="left"/>
      <w:lvlText w:val="%2"/>
      <w:numFmt w:val="lowerLetter"/>
      <w:start w:val="1"/>
    </w:lvl>
  </w:abstractNum>
  <w:abstractNum w:abstractNumId="56">
    <w:nsid w:val="3B594807"/>
    <w:multiLevelType w:val="hybridMultilevel"/>
    <w:lvl w:ilvl="0">
      <w:lvlJc w:val="left"/>
      <w:lvlText w:val="(%1)"/>
      <w:numFmt w:val="lowerLetter"/>
      <w:start w:val="2"/>
    </w:lvl>
  </w:abstractNum>
  <w:abstractNum w:abstractNumId="57">
    <w:nsid w:val="6CAA2304"/>
    <w:multiLevelType w:val="hybridMultilevel"/>
    <w:lvl w:ilvl="0">
      <w:lvlJc w:val="left"/>
      <w:lvlText w:val="(%1)"/>
      <w:numFmt w:val="lowerLetter"/>
      <w:start w:val="1"/>
    </w:lvl>
    <w:lvl w:ilvl="1">
      <w:lvlJc w:val="left"/>
      <w:lvlText w:val="(%2)"/>
      <w:numFmt w:val="lowerLetter"/>
      <w:start w:val="9"/>
    </w:lvl>
  </w:abstractNum>
  <w:abstractNum w:abstractNumId="58">
    <w:nsid w:val="3F7C2FF4"/>
    <w:multiLevelType w:val="hybridMultilevel"/>
    <w:lvl w:ilvl="0">
      <w:lvlJc w:val="left"/>
      <w:lvlText w:val="%1"/>
      <w:numFmt w:val="lowerLetter"/>
      <w:start w:val="1"/>
    </w:lvl>
    <w:lvl w:ilvl="1">
      <w:lvlJc w:val="left"/>
      <w:lvlText w:val="(%2)"/>
      <w:numFmt w:val="lowerRoman"/>
      <w:start w:val="2"/>
    </w:lvl>
  </w:abstractNum>
  <w:abstractNum w:abstractNumId="59">
    <w:nsid w:val="25413BEC"/>
    <w:multiLevelType w:val="hybridMultilevel"/>
    <w:lvl w:ilvl="0">
      <w:lvlJc w:val="left"/>
      <w:lvlText w:val="(%1)"/>
      <w:numFmt w:val="lowerLetter"/>
      <w:start w:val="3"/>
    </w:lvl>
    <w:lvl w:ilvl="1">
      <w:lvlJc w:val="left"/>
      <w:lvlText w:val="%2"/>
      <w:numFmt w:val="lowerRoman"/>
      <w:start w:val="1"/>
    </w:lvl>
  </w:abstractNum>
  <w:abstractNum w:abstractNumId="60">
    <w:nsid w:val="17180B0B"/>
    <w:multiLevelType w:val="hybridMultilevel"/>
    <w:lvl w:ilvl="0">
      <w:lvlJc w:val="left"/>
      <w:lvlText w:val="(%1)"/>
      <w:numFmt w:val="lowerLetter"/>
      <w:start w:val="4"/>
    </w:lvl>
  </w:abstractNum>
  <w:abstractNum w:abstractNumId="61">
    <w:nsid w:val="579328B9"/>
    <w:multiLevelType w:val="hybridMultilevel"/>
    <w:lvl w:ilvl="0">
      <w:lvlJc w:val="left"/>
      <w:lvlText w:val="(%1)"/>
      <w:numFmt w:val="lowerLetter"/>
      <w:start w:val="1"/>
    </w:lvl>
  </w:abstractNum>
  <w:abstractNum w:abstractNumId="62">
    <w:nsid w:val="5D205E20"/>
    <w:multiLevelType w:val="hybridMultilevel"/>
    <w:lvl w:ilvl="0">
      <w:lvlJc w:val="left"/>
      <w:lvlText w:val="%1"/>
      <w:numFmt w:val="decimal"/>
      <w:start w:val="1"/>
    </w:lvl>
    <w:lvl w:ilvl="1">
      <w:lvlJc w:val="left"/>
      <w:lvlText w:val="(%2)"/>
      <w:numFmt w:val="lowerLetter"/>
      <w:start w:val="1"/>
    </w:lvl>
  </w:abstractNum>
  <w:abstractNum w:abstractNumId="63">
    <w:nsid w:val="11CCA8BA"/>
    <w:multiLevelType w:val="hybridMultilevel"/>
    <w:lvl w:ilvl="0">
      <w:lvlJc w:val="left"/>
      <w:lvlText w:val="(%1)"/>
      <w:numFmt w:val="decimal"/>
      <w:start w:val="1"/>
    </w:lvl>
    <w:lvl w:ilvl="1">
      <w:lvlJc w:val="left"/>
      <w:lvlText w:val="%2"/>
      <w:numFmt w:val="lowerLetter"/>
      <w:start w:val="1"/>
    </w:lvl>
  </w:abstractNum>
  <w:abstractNum w:abstractNumId="64">
    <w:nsid w:val="4D32AB86"/>
    <w:multiLevelType w:val="hybridMultilevel"/>
    <w:lvl w:ilvl="0">
      <w:lvlJc w:val="left"/>
      <w:lvlText w:val="(%1)"/>
      <w:numFmt w:val="upperLetter"/>
      <w:start w:val="2"/>
    </w:lvl>
    <w:lvl w:ilvl="1">
      <w:lvlJc w:val="left"/>
      <w:lvlText w:val="(%2)"/>
      <w:numFmt w:val="lowerLetter"/>
      <w:start w:val="2"/>
    </w:lvl>
  </w:abstractNum>
  <w:abstractNum w:abstractNumId="65">
    <w:nsid w:val="3F07ACC3"/>
    <w:multiLevelType w:val="hybridMultilevel"/>
    <w:lvl w:ilvl="0">
      <w:lvlJc w:val="left"/>
      <w:lvlText w:val="(%1)"/>
      <w:numFmt w:val="lowerLetter"/>
      <w:start w:val="1"/>
    </w:lvl>
  </w:abstractNum>
  <w:abstractNum w:abstractNumId="66">
    <w:nsid w:val="6B47F63E"/>
    <w:multiLevelType w:val="hybridMultilevel"/>
    <w:lvl w:ilvl="0">
      <w:lvlJc w:val="left"/>
      <w:lvlText w:val="(%1)"/>
      <w:numFmt w:val="lowerLetter"/>
      <w:start w:val="3"/>
    </w:lvl>
  </w:abstractNum>
  <w:abstractNum w:abstractNumId="67">
    <w:nsid w:val="5CB44A05"/>
    <w:multiLevelType w:val="hybridMultilevel"/>
    <w:lvl w:ilvl="0">
      <w:lvlJc w:val="left"/>
      <w:lvlText w:val="%1"/>
      <w:numFmt w:val="lowerLetter"/>
      <w:start w:val="1"/>
    </w:lvl>
    <w:lvl w:ilvl="1">
      <w:lvlJc w:val="left"/>
      <w:lvlText w:val="(%2)"/>
      <w:numFmt w:val="lowerLetter"/>
      <w:start w:val="1"/>
    </w:lvl>
  </w:abstractNum>
  <w:abstractNum w:abstractNumId="68">
    <w:nsid w:val="16CF80F1"/>
    <w:multiLevelType w:val="hybridMultilevel"/>
    <w:lvl w:ilvl="0">
      <w:lvlJc w:val="left"/>
      <w:lvlText w:val="(%1)"/>
      <w:numFmt w:val="lowerLetter"/>
      <w:start w:val="35"/>
    </w:lvl>
    <w:lvl w:ilvl="1">
      <w:lvlJc w:val="left"/>
      <w:lvlText w:val="(%2)"/>
      <w:numFmt w:val="lowerLetter"/>
      <w:start w:val="3"/>
    </w:lvl>
  </w:abstractNum>
  <w:abstractNum w:abstractNumId="69">
    <w:nsid w:val="1C695DEC"/>
    <w:multiLevelType w:val="hybridMultilevel"/>
    <w:lvl w:ilvl="0">
      <w:lvlJc w:val="left"/>
      <w:lvlText w:val="(%1)"/>
      <w:numFmt w:val="lowerLetter"/>
      <w:start w:val="1"/>
    </w:lvl>
  </w:abstractNum>
  <w:abstractNum w:abstractNumId="70">
    <w:nsid w:val="3FCFAED9"/>
    <w:multiLevelType w:val="hybridMultilevel"/>
    <w:lvl w:ilvl="0">
      <w:lvlJc w:val="left"/>
      <w:lvlText w:val="(%1)"/>
      <w:numFmt w:val="lowerLetter"/>
      <w:start w:val="4"/>
    </w:lvl>
  </w:abstractNum>
  <w:abstractNum w:abstractNumId="71">
    <w:nsid w:val="F856867"/>
    <w:multiLevelType w:val="hybridMultilevel"/>
    <w:lvl w:ilvl="0">
      <w:lvlJc w:val="left"/>
      <w:lvlText w:val="(%1)"/>
      <w:numFmt w:val="lowerLetter"/>
      <w:start w:val="1"/>
    </w:lvl>
  </w:abstractNum>
  <w:abstractNum w:abstractNumId="72">
    <w:nsid w:val="11B1CC33"/>
    <w:multiLevelType w:val="hybridMultilevel"/>
    <w:lvl w:ilvl="0">
      <w:lvlJc w:val="left"/>
      <w:lvlText w:val="(%1)"/>
      <w:numFmt w:val="lowerLetter"/>
      <w:start w:val="1"/>
    </w:lvl>
  </w:abstractNum>
  <w:abstractNum w:abstractNumId="73">
    <w:nsid w:val="2E22FBB7"/>
    <w:multiLevelType w:val="hybridMultilevel"/>
    <w:lvl w:ilvl="0">
      <w:lvlJc w:val="left"/>
      <w:lvlText w:val="(%1)"/>
      <w:numFmt w:val="lowerLetter"/>
      <w:start w:val="2"/>
    </w:lvl>
    <w:lvl w:ilvl="1">
      <w:lvlJc w:val="left"/>
      <w:lvlText w:val="(%2)"/>
      <w:numFmt w:val="lowerRoman"/>
      <w:start w:val="1"/>
    </w:lvl>
  </w:abstractNum>
  <w:abstractNum w:abstractNumId="74">
    <w:nsid w:val="29934699"/>
    <w:multiLevelType w:val="hybridMultilevel"/>
    <w:lvl w:ilvl="0">
      <w:lvlJc w:val="left"/>
      <w:lvlText w:val="%1"/>
      <w:numFmt w:val="decimal"/>
      <w:start w:val="1"/>
    </w:lvl>
    <w:lvl w:ilvl="1">
      <w:lvlJc w:val="left"/>
      <w:lvlText w:val="(%2)"/>
      <w:numFmt w:val="lowerRoman"/>
      <w:start w:val="4"/>
    </w:lvl>
  </w:abstractNum>
  <w:abstractNum w:abstractNumId="75">
    <w:nsid w:val="77485850"/>
    <w:multiLevelType w:val="hybridMultilevel"/>
    <w:lvl w:ilvl="0">
      <w:lvlJc w:val="left"/>
      <w:lvlText w:val="(%1)"/>
      <w:numFmt w:val="decimal"/>
      <w:start w:val="5"/>
    </w:lvl>
    <w:lvl w:ilvl="1">
      <w:lvlJc w:val="left"/>
      <w:lvlText w:val="(%2)"/>
      <w:numFmt w:val="lowerRoman"/>
      <w:start w:val="5"/>
    </w:lvl>
  </w:abstractNum>
  <w:abstractNum w:abstractNumId="76">
    <w:nsid w:val="744939A3"/>
    <w:multiLevelType w:val="hybridMultilevel"/>
    <w:lvl w:ilvl="0">
      <w:lvlJc w:val="left"/>
      <w:lvlText w:val="%1"/>
      <w:numFmt w:val="lowerLetter"/>
      <w:start w:val="1"/>
    </w:lvl>
    <w:lvl w:ilvl="1">
      <w:lvlJc w:val="left"/>
      <w:lvlText w:val="(%2)"/>
      <w:numFmt w:val="lowerRoman"/>
      <w:start w:val="7"/>
    </w:lvl>
  </w:abstractNum>
  <w:abstractNum w:abstractNumId="77">
    <w:nsid w:val="4FA0D2E3"/>
    <w:multiLevelType w:val="hybridMultilevel"/>
    <w:lvl w:ilvl="0">
      <w:lvlJc w:val="left"/>
      <w:lvlText w:val="(%1)"/>
      <w:numFmt w:val="lowerLetter"/>
      <w:start w:val="3"/>
    </w:lvl>
    <w:lvl w:ilvl="1">
      <w:lvlJc w:val="left"/>
      <w:lvlText w:val="%2"/>
      <w:numFmt w:val="lowerRoman"/>
      <w:start w:val="1"/>
    </w:lvl>
  </w:abstractNum>
  <w:abstractNum w:abstractNumId="78">
    <w:nsid w:val="6B1D2C14"/>
    <w:multiLevelType w:val="hybridMultilevel"/>
    <w:lvl w:ilvl="0">
      <w:lvlJc w:val="left"/>
      <w:lvlText w:val="(%1)"/>
      <w:numFmt w:val="lowerLetter"/>
      <w:start w:val="1"/>
    </w:lvl>
    <w:lvl w:ilvl="1">
      <w:lvlJc w:val="left"/>
      <w:lvlText w:val="(%2)"/>
      <w:numFmt w:val="lowerLetter"/>
      <w:start w:val="9"/>
    </w:lvl>
  </w:abstractNum>
  <w:abstractNum w:abstractNumId="79">
    <w:nsid w:val="68B867D3"/>
    <w:multiLevelType w:val="hybridMultilevel"/>
    <w:lvl w:ilvl="0">
      <w:lvlJc w:val="left"/>
      <w:lvlText w:val="%1"/>
      <w:numFmt w:val="decimal"/>
      <w:start w:val="1"/>
    </w:lvl>
    <w:lvl w:ilvl="1">
      <w:lvlJc w:val="left"/>
      <w:lvlText w:val="(%2)"/>
      <w:numFmt w:val="lowerRoman"/>
      <w:start w:val="2"/>
    </w:lvl>
  </w:abstractNum>
  <w:abstractNum w:abstractNumId="80">
    <w:nsid w:val="3F7F5DD9"/>
    <w:multiLevelType w:val="hybridMultilevel"/>
    <w:lvl w:ilvl="0">
      <w:lvlJc w:val="left"/>
      <w:lvlText w:val="(%1)"/>
      <w:numFmt w:val="decimal"/>
      <w:start w:val="4"/>
    </w:lvl>
    <w:lvl w:ilvl="1">
      <w:lvlJc w:val="left"/>
      <w:lvlText w:val="(%2)"/>
      <w:numFmt w:val="lowerRoman"/>
      <w:start w:val="3"/>
    </w:lvl>
  </w:abstractNum>
  <w:abstractNum w:abstractNumId="81">
    <w:nsid w:val="2AE05A34"/>
    <w:multiLevelType w:val="hybridMultilevel"/>
    <w:lvl w:ilvl="0">
      <w:lvlJc w:val="left"/>
      <w:lvlText w:val="(%1)"/>
      <w:numFmt w:val="lowerLetter"/>
      <w:start w:val="3"/>
    </w:lvl>
    <w:lvl w:ilvl="1">
      <w:lvlJc w:val="left"/>
      <w:lvlText w:val="(%2)"/>
      <w:numFmt w:val="lowerRoman"/>
      <w:start w:val="1"/>
    </w:lvl>
  </w:abstractNum>
  <w:abstractNum w:abstractNumId="82">
    <w:nsid w:val="32794FF7"/>
    <w:multiLevelType w:val="hybridMultilevel"/>
    <w:lvl w:ilvl="0">
      <w:lvlJc w:val="left"/>
      <w:lvlText w:val="(%1)"/>
      <w:numFmt w:val="lowerLetter"/>
      <w:start w:val="1"/>
    </w:lvl>
  </w:abstractNum>
  <w:abstractNum w:abstractNumId="83">
    <w:nsid w:val="5454945E"/>
    <w:multiLevelType w:val="hybridMultilevel"/>
    <w:lvl w:ilvl="0">
      <w:lvlJc w:val="left"/>
      <w:lvlText w:val="(%1)"/>
      <w:numFmt w:val="lowerLetter"/>
      <w:start w:val="1"/>
    </w:lvl>
  </w:abstractNum>
  <w:abstractNum w:abstractNumId="84">
    <w:nsid w:val="4DEFDFA0"/>
    <w:multiLevelType w:val="hybridMultilevel"/>
    <w:lvl w:ilvl="0">
      <w:lvlJc w:val="left"/>
      <w:lvlText w:val="(%1)"/>
      <w:numFmt w:val="lowerLetter"/>
      <w:start w:val="1"/>
    </w:lvl>
  </w:abstractNum>
  <w:abstractNum w:abstractNumId="85">
    <w:nsid w:val="2123D5F2"/>
    <w:multiLevelType w:val="hybridMultilevel"/>
    <w:lvl w:ilvl="0">
      <w:lvlJc w:val="left"/>
      <w:lvlText w:val="(%1)"/>
      <w:numFmt w:val="lowerLetter"/>
      <w:start w:val="2"/>
    </w:lvl>
  </w:abstractNum>
  <w:abstractNum w:abstractNumId="86">
    <w:nsid w:val="135B8110"/>
    <w:multiLevelType w:val="hybridMultilevel"/>
    <w:lvl w:ilvl="0">
      <w:lvlJc w:val="left"/>
      <w:lvlText w:val="(%1)"/>
      <w:numFmt w:val="lowerLetter"/>
      <w:start w:val="1"/>
    </w:lvl>
  </w:abstractNum>
  <w:abstractNum w:abstractNumId="87">
    <w:nsid w:val="94927A8"/>
    <w:multiLevelType w:val="hybridMultilevel"/>
    <w:lvl w:ilvl="0">
      <w:lvlJc w:val="left"/>
      <w:lvlText w:val="(%1)"/>
      <w:numFmt w:val="lowerRoman"/>
      <w:start w:val="1"/>
    </w:lvl>
  </w:abstractNum>
  <w:abstractNum w:abstractNumId="88">
    <w:nsid w:val="DCDF8F6"/>
    <w:multiLevelType w:val="hybridMultilevel"/>
    <w:lvl w:ilvl="0">
      <w:lvlJc w:val="left"/>
      <w:lvlText w:val="(%1)"/>
      <w:numFmt w:val="lowerRoman"/>
      <w:start w:val="2"/>
    </w:lvl>
  </w:abstractNum>
  <w:abstractNum w:abstractNumId="89">
    <w:nsid w:val="52D7B105"/>
    <w:multiLevelType w:val="hybridMultilevel"/>
    <w:lvl w:ilvl="0">
      <w:lvlJc w:val="left"/>
      <w:lvlText w:val="%1"/>
      <w:numFmt w:val="decimal"/>
      <w:start w:val="1"/>
    </w:lvl>
    <w:lvl w:ilvl="1">
      <w:lvlJc w:val="left"/>
      <w:lvlText w:val="(%2)"/>
      <w:numFmt w:val="lowerLetter"/>
      <w:start w:val="1"/>
    </w:lvl>
  </w:abstractNum>
  <w:abstractNum w:abstractNumId="90">
    <w:nsid w:val="2E8A6394"/>
    <w:multiLevelType w:val="hybridMultilevel"/>
    <w:lvl w:ilvl="0">
      <w:lvlJc w:val="left"/>
      <w:lvlText w:val="(%1)"/>
      <w:numFmt w:val="decimal"/>
      <w:start w:val="2"/>
    </w:lvl>
    <w:lvl w:ilvl="1">
      <w:lvlJc w:val="left"/>
      <w:lvlText w:val="(%2)"/>
      <w:numFmt w:val="lowerLetter"/>
      <w:start w:val="2"/>
    </w:lvl>
  </w:abstractNum>
  <w:abstractNum w:abstractNumId="91">
    <w:nsid w:val="24E60401"/>
    <w:multiLevelType w:val="hybridMultilevel"/>
    <w:lvl w:ilvl="0">
      <w:lvlJc w:val="left"/>
      <w:lvlText w:val="(%1)"/>
      <w:numFmt w:val="lowerLetter"/>
      <w:start w:val="3"/>
    </w:lvl>
  </w:abstractNum>
  <w:abstractNum w:abstractNumId="92">
    <w:nsid w:val="2A6AD9BE"/>
    <w:multiLevelType w:val="hybridMultilevel"/>
    <w:lvl w:ilvl="0">
      <w:lvlJc w:val="left"/>
      <w:lvlText w:val="(%1)"/>
      <w:numFmt w:val="lowerLetter"/>
      <w:start w:val="1"/>
    </w:lvl>
    <w:lvl w:ilvl="1">
      <w:lvlJc w:val="left"/>
      <w:lvlText w:val="(%2)"/>
      <w:numFmt w:val="lowerRoman"/>
      <w:start w:val="1"/>
    </w:lvl>
  </w:abstractNum>
  <w:abstractNum w:abstractNumId="93">
    <w:nsid w:val="BAAC1B4"/>
    <w:multiLevelType w:val="hybridMultilevel"/>
    <w:lvl w:ilvl="0">
      <w:lvlJc w:val="left"/>
      <w:lvlText w:val="(%1)"/>
      <w:numFmt w:val="lowerLetter"/>
      <w:start w:val="2"/>
    </w:lvl>
    <w:lvl w:ilvl="1">
      <w:lvlJc w:val="left"/>
      <w:lvlText w:val="(%2)"/>
      <w:numFmt w:val="lowerRoman"/>
      <w:start w:val="1"/>
    </w:lvl>
  </w:abstractNum>
  <w:abstractNum w:abstractNumId="94">
    <w:nsid w:val="36B2ACBC"/>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lvl w:ilvl="3">
      <w:lvlJc w:val="left"/>
      <w:lvlText w:val="%4"/>
      <w:numFmt w:val="upperLetter"/>
      <w:start w:val="1"/>
    </w:lvl>
  </w:abstractNum>
  <w:abstractNum w:abstractNumId="95">
    <w:nsid w:val="779D8544"/>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96">
    <w:nsid w:val="4AB26E7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lvl w:ilvl="3">
      <w:lvlJc w:val="left"/>
      <w:lvlText w:val="(%4)"/>
      <w:numFmt w:val="upperLetter"/>
      <w:start w:val="2"/>
    </w:lvl>
  </w:abstractNum>
  <w:abstractNum w:abstractNumId="97">
    <w:nsid w:val="21FAA2FA"/>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lvl w:ilvl="3">
      <w:lvlJc w:val="left"/>
      <w:lvlText w:val="%4"/>
      <w:numFmt w:val="upperLetter"/>
      <w:start w:val="1"/>
    </w:lvl>
  </w:abstractNum>
  <w:abstractNum w:abstractNumId="98">
    <w:nsid w:val="5451CF49"/>
    <w:multiLevelType w:val="hybridMultilevel"/>
    <w:lvl w:ilvl="0">
      <w:lvlJc w:val="left"/>
      <w:lvlText w:val="%1"/>
      <w:numFmt w:val="upperLetter"/>
      <w:start w:val="1"/>
    </w:lvl>
    <w:lvl w:ilvl="1">
      <w:lvlJc w:val="left"/>
      <w:lvlText w:val="(%2)"/>
      <w:numFmt w:val="lowerRoman"/>
      <w:start w:val="3"/>
    </w:lvl>
  </w:abstractNum>
  <w:abstractNum w:abstractNumId="99">
    <w:nsid w:val="6181EF69"/>
    <w:multiLevelType w:val="hybridMultilevel"/>
    <w:lvl w:ilvl="0">
      <w:lvlJc w:val="left"/>
      <w:lvlText w:val="(%1)"/>
      <w:numFmt w:val="upperLetter"/>
      <w:start w:val="1"/>
    </w:lvl>
    <w:lvl w:ilvl="1">
      <w:lvlJc w:val="left"/>
      <w:lvlText w:val="(%2)"/>
      <w:numFmt w:val="lowerRoman"/>
      <w:start w:val="4"/>
    </w:lvl>
  </w:abstractNum>
  <w:abstractNum w:abstractNumId="100">
    <w:nsid w:val="3E6400E6"/>
    <w:multiLevelType w:val="hybridMultilevel"/>
    <w:lvl w:ilvl="0">
      <w:lvlJc w:val="left"/>
      <w:lvlText w:val="(%1)"/>
      <w:numFmt w:val="lowerLetter"/>
      <w:start w:val="4"/>
    </w:lvl>
  </w:abstractNum>
  <w:abstractNum w:abstractNumId="101">
    <w:nsid w:val="14217E23"/>
    <w:multiLevelType w:val="hybridMultilevel"/>
    <w:lvl w:ilvl="0">
      <w:lvlJc w:val="left"/>
      <w:lvlText w:val="(%1)"/>
      <w:numFmt w:val="lowerLetter"/>
      <w:start w:val="1"/>
    </w:lvl>
    <w:lvl w:ilvl="1">
      <w:lvlJc w:val="left"/>
      <w:lvlText w:val="(%2)"/>
      <w:numFmt w:val="lowerRoman"/>
      <w:start w:val="1"/>
    </w:lvl>
  </w:abstractNum>
  <w:abstractNum w:abstractNumId="102">
    <w:nsid w:val="710757D0"/>
    <w:multiLevelType w:val="hybridMultilevel"/>
    <w:lvl w:ilvl="0">
      <w:lvlJc w:val="left"/>
      <w:lvlText w:val="(%1)"/>
      <w:numFmt w:val="lowerLetter"/>
      <w:start w:val="2"/>
    </w:lvl>
  </w:abstractNum>
  <w:abstractNum w:abstractNumId="103">
    <w:nsid w:val="5015CD1A"/>
    <w:multiLevelType w:val="hybridMultilevel"/>
    <w:lvl w:ilvl="0">
      <w:lvlJc w:val="left"/>
      <w:lvlText w:val="(%1)"/>
      <w:numFmt w:val="lowerLetter"/>
      <w:start w:val="4"/>
    </w:lvl>
  </w:abstractNum>
  <w:abstractNum w:abstractNumId="104">
    <w:nsid w:val="424479DA"/>
    <w:multiLevelType w:val="hybridMultilevel"/>
    <w:lvl w:ilvl="0">
      <w:lvlJc w:val="left"/>
      <w:lvlText w:val="(%1)"/>
      <w:numFmt w:val="lowerLetter"/>
      <w:start w:val="1"/>
    </w:lvl>
  </w:abstractNum>
  <w:abstractNum w:abstractNumId="105">
    <w:nsid w:val="1A9A9E6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06">
    <w:nsid w:val="475E256A"/>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07">
    <w:nsid w:val="368DB37E"/>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4"/>
    </w:lvl>
  </w:abstractNum>
  <w:abstractNum w:abstractNumId="108">
    <w:nsid w:val="6A3B714C"/>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109">
    <w:nsid w:val="327B517E"/>
    <w:multiLevelType w:val="hybridMultilevel"/>
    <w:lvl w:ilvl="0">
      <w:lvlJc w:val="left"/>
      <w:lvlText w:val="(%1)"/>
      <w:numFmt w:val="lowerLetter"/>
      <w:start w:val="8"/>
    </w:lvl>
  </w:abstractNum>
  <w:abstractNum w:abstractNumId="110">
    <w:nsid w:val="1F461B51"/>
    <w:multiLevelType w:val="hybridMultilevel"/>
    <w:lvl w:ilvl="0">
      <w:lvlJc w:val="left"/>
      <w:lvlText w:val="(%1)"/>
      <w:numFmt w:val="lowerLetter"/>
      <w:start w:val="1"/>
    </w:lvl>
  </w:abstractNum>
  <w:abstractNum w:abstractNumId="111">
    <w:nsid w:val="29BACF25"/>
    <w:multiLevelType w:val="hybridMultilevel"/>
    <w:lvl w:ilvl="0">
      <w:lvlJc w:val="left"/>
      <w:lvlText w:val="(%1)"/>
      <w:numFmt w:val="lowerLetter"/>
      <w:start w:val="2"/>
    </w:lvl>
    <w:lvl w:ilvl="1">
      <w:lvlJc w:val="left"/>
      <w:lvlText w:val="(%2)"/>
      <w:numFmt w:val="lowerRoman"/>
      <w:start w:val="1"/>
    </w:lvl>
  </w:abstractNum>
  <w:abstractNum w:abstractNumId="112">
    <w:nsid w:val="5D5BABB3"/>
    <w:multiLevelType w:val="hybridMultilevel"/>
    <w:lvl w:ilvl="0">
      <w:lvlJc w:val="left"/>
      <w:lvlText w:val="%1"/>
      <w:numFmt w:val="upperLetter"/>
      <w:start w:val="1"/>
    </w:lvl>
    <w:lvl w:ilvl="1">
      <w:lvlJc w:val="left"/>
      <w:lvlText w:val="(%2)"/>
      <w:numFmt w:val="lowerLetter"/>
      <w:start w:val="1"/>
    </w:lvl>
  </w:abstractNum>
  <w:abstractNum w:abstractNumId="113">
    <w:nsid w:val="51BF6B48"/>
    <w:multiLevelType w:val="hybridMultilevel"/>
    <w:lvl w:ilvl="0">
      <w:lvlJc w:val="left"/>
      <w:lvlText w:val="(%1)"/>
      <w:numFmt w:val="upperLetter"/>
      <w:start w:val="1"/>
    </w:lvl>
    <w:lvl w:ilvl="1">
      <w:lvlJc w:val="left"/>
      <w:lvlText w:val="(%2)"/>
      <w:numFmt w:val="lowerLetter"/>
      <w:start w:val="2"/>
    </w:lvl>
  </w:abstractNum>
  <w:abstractNum w:abstractNumId="114">
    <w:nsid w:val="7E0F638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5">
    <w:nsid w:val="2B4B8B5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16">
    <w:nsid w:val="72E3413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7">
    <w:nsid w:val="116AE494"/>
    <w:multiLevelType w:val="hybridMultilevel"/>
    <w:lvl w:ilvl="0">
      <w:lvlJc w:val="left"/>
      <w:lvlText w:val="%1"/>
      <w:numFmt w:val="lowerLetter"/>
      <w:start w:val="1"/>
    </w:lvl>
    <w:lvl w:ilvl="1">
      <w:lvlJc w:val="left"/>
      <w:lvlText w:val="(%2)"/>
      <w:numFmt w:val="lowerRoman"/>
      <w:start w:val="4"/>
    </w:lvl>
  </w:abstractNum>
  <w:abstractNum w:abstractNumId="118">
    <w:nsid w:val="3494B2FB"/>
    <w:multiLevelType w:val="hybridMultilevel"/>
    <w:lvl w:ilvl="0">
      <w:lvlJc w:val="left"/>
      <w:lvlText w:val="(%1)"/>
      <w:numFmt w:val="lowerLetter"/>
      <w:start w:val="6"/>
    </w:lvl>
    <w:lvl w:ilvl="1">
      <w:lvlJc w:val="left"/>
      <w:lvlText w:val="%2"/>
      <w:numFmt w:val="lowerRoman"/>
      <w:start w:val="1"/>
    </w:lvl>
  </w:abstractNum>
  <w:abstractNum w:abstractNumId="119">
    <w:nsid w:val="B13A31"/>
    <w:multiLevelType w:val="hybridMultilevel"/>
    <w:lvl w:ilvl="0">
      <w:lvlJc w:val="left"/>
      <w:lvlText w:val="(%1)"/>
      <w:numFmt w:val="lowerLetter"/>
      <w:start w:val="1"/>
    </w:lvl>
  </w:abstractNum>
  <w:abstractNum w:abstractNumId="120">
    <w:nsid w:val="64429599"/>
    <w:multiLevelType w:val="hybridMultilevel"/>
    <w:lvl w:ilvl="0">
      <w:lvlJc w:val="left"/>
      <w:lvlText w:val="%1"/>
      <w:numFmt w:val="lowerLetter"/>
      <w:start w:val="1"/>
    </w:lvl>
    <w:lvl w:ilvl="1">
      <w:lvlJc w:val="left"/>
      <w:lvlText w:val="(%2)"/>
      <w:numFmt w:val="lowerLetter"/>
      <w:start w:val="3"/>
    </w:lvl>
  </w:abstractNum>
  <w:abstractNum w:abstractNumId="121">
    <w:nsid w:val="631F1690"/>
    <w:multiLevelType w:val="hybridMultilevel"/>
    <w:lvl w:ilvl="0">
      <w:lvlJc w:val="left"/>
      <w:lvlText w:val="(%1)"/>
      <w:numFmt w:val="lowerLetter"/>
      <w:start w:val="9"/>
    </w:lvl>
    <w:lvl w:ilvl="1">
      <w:lvlJc w:val="left"/>
      <w:lvlText w:val="%2"/>
      <w:numFmt w:val="lowerLetter"/>
      <w:start w:val="1"/>
    </w:lvl>
  </w:abstractNum>
  <w:abstractNum w:abstractNumId="122">
    <w:nsid w:val="25973E32"/>
    <w:multiLevelType w:val="hybridMultilevel"/>
    <w:lvl w:ilvl="0">
      <w:lvlJc w:val="left"/>
      <w:lvlText w:val="(%1)"/>
      <w:numFmt w:val="lowerLetter"/>
      <w:start w:val="1"/>
    </w:lvl>
    <w:lvl w:ilvl="1">
      <w:lvlJc w:val="left"/>
      <w:lvlText w:val="(%2)"/>
      <w:numFmt w:val="lowerRoman"/>
      <w:start w:val="1"/>
    </w:lvl>
  </w:abstractNum>
  <w:abstractNum w:abstractNumId="123">
    <w:nsid w:val="EAD6F57"/>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124">
    <w:nsid w:val="6EC9D844"/>
    <w:multiLevelType w:val="hybridMultilevel"/>
    <w:lvl w:ilvl="0">
      <w:lvlJc w:val="left"/>
      <w:lvlText w:val="(%1)"/>
      <w:numFmt w:val="lowerRoman"/>
      <w:start w:val="10"/>
    </w:lvl>
    <w:lvl w:ilvl="1">
      <w:lvlJc w:val="left"/>
      <w:lvlText w:val="(%2)"/>
      <w:numFmt w:val="lowerRoman"/>
      <w:start w:val="5"/>
    </w:lvl>
    <w:lvl w:ilvl="2">
      <w:lvlJc w:val="left"/>
      <w:lvlText w:val="%3"/>
      <w:numFmt w:val="upperLetter"/>
      <w:start w:val="1"/>
    </w:lvl>
  </w:abstractNum>
  <w:abstractNum w:abstractNumId="125">
    <w:nsid w:val="5C49EAEE"/>
    <w:multiLevelType w:val="hybridMultilevel"/>
    <w:lvl w:ilvl="0">
      <w:lvlJc w:val="left"/>
      <w:lvlText w:val="(%1)"/>
      <w:numFmt w:val="lowerLetter"/>
      <w:start w:val="2"/>
    </w:lvl>
  </w:abstractNum>
  <w:abstractNum w:abstractNumId="126">
    <w:nsid w:val="64AF49B"/>
    <w:multiLevelType w:val="hybridMultilevel"/>
    <w:lvl w:ilvl="0">
      <w:lvlJc w:val="left"/>
      <w:lvlText w:val="(%1)"/>
      <w:numFmt w:val="lowerLetter"/>
      <w:start w:val="1"/>
    </w:lvl>
  </w:abstractNum>
  <w:abstractNum w:abstractNumId="127">
    <w:nsid w:val="397C46BC"/>
    <w:multiLevelType w:val="hybridMultilevel"/>
    <w:lvl w:ilvl="0">
      <w:lvlJc w:val="left"/>
      <w:lvlText w:val="(%1)"/>
      <w:numFmt w:val="lowerLetter"/>
      <w:start w:val="1"/>
    </w:lvl>
    <w:lvl w:ilvl="1">
      <w:lvlJc w:val="left"/>
      <w:lvlText w:val="(%2)"/>
      <w:numFmt w:val="lowerRoman"/>
      <w:start w:val="1"/>
    </w:lvl>
  </w:abstractNum>
  <w:abstractNum w:abstractNumId="128">
    <w:nsid w:val="7E448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29">
    <w:nsid w:val="5A9CC3E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0">
    <w:nsid w:val="1AFE362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1">
    <w:nsid w:val="3CA88ECF"/>
    <w:multiLevelType w:val="hybridMultilevel"/>
    <w:lvl w:ilvl="0">
      <w:lvlJc w:val="left"/>
      <w:lvlText w:val="(%1)"/>
      <w:numFmt w:val="lowerLetter"/>
      <w:start w:val="3"/>
    </w:lvl>
  </w:abstractNum>
  <w:abstractNum w:abstractNumId="132">
    <w:nsid w:val="6EBE4208"/>
    <w:multiLevelType w:val="hybridMultilevel"/>
    <w:lvl w:ilvl="0">
      <w:lvlJc w:val="left"/>
      <w:lvlText w:val="(%1)"/>
      <w:numFmt w:val="lowerLetter"/>
      <w:start w:val="6"/>
    </w:lvl>
  </w:abstractNum>
  <w:abstractNum w:abstractNumId="133">
    <w:nsid w:val="C058DF5"/>
    <w:multiLevelType w:val="hybridMultilevel"/>
    <w:lvl w:ilvl="0">
      <w:lvlJc w:val="left"/>
      <w:lvlText w:val="(%1)"/>
      <w:numFmt w:val="lowerLetter"/>
      <w:start w:val="1"/>
    </w:lvl>
  </w:abstractNum>
  <w:abstractNum w:abstractNumId="134">
    <w:nsid w:val="CBE5BE9"/>
    <w:multiLevelType w:val="hybridMultilevel"/>
    <w:lvl w:ilvl="0">
      <w:lvlJc w:val="left"/>
      <w:lvlText w:val="%1"/>
      <w:numFmt w:val="lowerLetter"/>
      <w:start w:val="1"/>
    </w:lvl>
    <w:lvl w:ilvl="1">
      <w:lvlJc w:val="left"/>
      <w:lvlText w:val="(%2)"/>
      <w:numFmt w:val="lowerLetter"/>
      <w:start w:val="3"/>
    </w:lvl>
  </w:abstractNum>
  <w:abstractNum w:abstractNumId="135">
    <w:nsid w:val="3102BBE2"/>
    <w:multiLevelType w:val="hybridMultilevel"/>
    <w:lvl w:ilvl="0">
      <w:lvlJc w:val="left"/>
      <w:lvlText w:val="(%1)"/>
      <w:numFmt w:val="lowerLetter"/>
      <w:start w:val="9"/>
    </w:lvl>
    <w:lvl w:ilvl="1">
      <w:lvlJc w:val="left"/>
      <w:lvlText w:val="(%2)"/>
      <w:numFmt w:val="lowerLetter"/>
      <w:start w:val="4"/>
    </w:lvl>
  </w:abstractNum>
  <w:abstractNum w:abstractNumId="136">
    <w:nsid w:val="26A02C5E"/>
    <w:multiLevelType w:val="hybridMultilevel"/>
    <w:lvl w:ilvl="0">
      <w:lvlJc w:val="left"/>
      <w:lvlText w:val="(%1)"/>
      <w:numFmt w:val="lowerLetter"/>
      <w:start w:val="1"/>
    </w:lvl>
    <w:lvl w:ilvl="1">
      <w:lvlJc w:val="left"/>
      <w:lvlText w:val="(%2)"/>
      <w:numFmt w:val="lowerRoman"/>
      <w:start w:val="1"/>
    </w:lvl>
  </w:abstractNum>
  <w:abstractNum w:abstractNumId="137">
    <w:nsid w:val="541C8153"/>
    <w:multiLevelType w:val="hybridMultilevel"/>
    <w:lvl w:ilvl="0">
      <w:lvlJc w:val="left"/>
      <w:lvlText w:val="%1"/>
      <w:numFmt w:val="lowerLetter"/>
      <w:start w:val="1"/>
    </w:lvl>
    <w:lvl w:ilvl="1">
      <w:lvlJc w:val="left"/>
      <w:lvlText w:val="(%2)"/>
      <w:numFmt w:val="lowerRoman"/>
      <w:start w:val="4"/>
    </w:lvl>
  </w:abstractNum>
  <w:abstractNum w:abstractNumId="138">
    <w:nsid w:val="67906F60"/>
    <w:multiLevelType w:val="hybridMultilevel"/>
    <w:lvl w:ilvl="0">
      <w:lvlJc w:val="left"/>
      <w:lvlText w:val="(%1)"/>
      <w:numFmt w:val="lowerLetter"/>
      <w:start w:val="3"/>
    </w:lvl>
    <w:lvl w:ilvl="1">
      <w:lvlJc w:val="left"/>
      <w:lvlText w:val="(%2)"/>
      <w:numFmt w:val="lowerRoman"/>
      <w:start w:val="1"/>
    </w:lvl>
  </w:abstractNum>
  <w:abstractNum w:abstractNumId="139">
    <w:nsid w:val="10DB9DAA"/>
    <w:multiLevelType w:val="hybridMultilevel"/>
    <w:lvl w:ilvl="0">
      <w:lvlJc w:val="left"/>
      <w:lvlText w:val="%1"/>
      <w:numFmt w:val="lowerLetter"/>
      <w:start w:val="1"/>
    </w:lvl>
    <w:lvl w:ilvl="1">
      <w:lvlJc w:val="left"/>
      <w:lvlText w:val="(%2)"/>
      <w:numFmt w:val="lowerLetter"/>
      <w:start w:val="61"/>
    </w:lvl>
  </w:abstractNum>
  <w:abstractNum w:abstractNumId="140">
    <w:nsid w:val="697D2D2"/>
    <w:multiLevelType w:val="hybridMultilevel"/>
    <w:lvl w:ilvl="0">
      <w:lvlJc w:val="left"/>
      <w:lvlText w:val="(%1)"/>
      <w:numFmt w:val="lowerLetter"/>
      <w:start w:val="6"/>
    </w:lvl>
    <w:lvl w:ilvl="1">
      <w:lvlJc w:val="left"/>
      <w:lvlText w:val="(%2)"/>
      <w:numFmt w:val="lowerLetter"/>
      <w:start w:val="9"/>
    </w:lvl>
  </w:abstractNum>
  <w:abstractNum w:abstractNumId="141">
    <w:nsid w:val="6D68AB2"/>
    <w:multiLevelType w:val="hybridMultilevel"/>
    <w:lvl w:ilvl="0">
      <w:lvlJc w:val="left"/>
      <w:lvlText w:val="%1"/>
      <w:numFmt w:val="lowerLetter"/>
      <w:start w:val="1"/>
    </w:lvl>
    <w:lvl w:ilvl="1">
      <w:lvlJc w:val="left"/>
      <w:lvlText w:val="(%2)"/>
      <w:numFmt w:val="lowerRoman"/>
      <w:start w:val="2"/>
    </w:lvl>
  </w:abstractNum>
  <w:abstractNum w:abstractNumId="142">
    <w:nsid w:val="3A966CD0"/>
    <w:multiLevelType w:val="hybridMultilevel"/>
    <w:lvl w:ilvl="0">
      <w:lvlJc w:val="left"/>
      <w:lvlText w:val="(%1)"/>
      <w:numFmt w:val="lowerLetter"/>
      <w:start w:val="7"/>
    </w:lvl>
    <w:lvl w:ilvl="1">
      <w:lvlJc w:val="left"/>
      <w:lvlText w:val="(%2)"/>
      <w:numFmt w:val="lowerRoman"/>
      <w:start w:val="1"/>
    </w:lvl>
  </w:abstractNum>
  <w:abstractNum w:abstractNumId="143">
    <w:nsid w:val="63F37E85"/>
    <w:multiLevelType w:val="hybridMultilevel"/>
    <w:lvl w:ilvl="0">
      <w:lvlJc w:val="left"/>
      <w:lvlText w:val="%1"/>
      <w:numFmt w:val="upperLetter"/>
      <w:start w:val="1"/>
    </w:lvl>
    <w:lvl w:ilvl="1">
      <w:lvlJc w:val="left"/>
      <w:lvlText w:val="(%2)"/>
      <w:numFmt w:val="lowerRoman"/>
      <w:start w:val="3"/>
    </w:lvl>
  </w:abstractNum>
  <w:abstractNum w:abstractNumId="144">
    <w:nsid w:val="5895F5FA"/>
    <w:multiLevelType w:val="hybridMultilevel"/>
    <w:lvl w:ilvl="0">
      <w:lvlJc w:val="left"/>
      <w:lvlText w:val="(%1)"/>
      <w:numFmt w:val="upperLetter"/>
      <w:start w:val="1"/>
    </w:lvl>
    <w:lvl w:ilvl="1">
      <w:lvlJc w:val="left"/>
      <w:lvlText w:val="(%2)"/>
      <w:numFmt w:val="lowerRoman"/>
      <w:start w:val="4"/>
    </w:lvl>
  </w:abstractNum>
  <w:abstractNum w:abstractNumId="145">
    <w:nsid w:val="38A5D054"/>
    <w:multiLevelType w:val="hybridMultilevel"/>
    <w:lvl w:ilvl="0">
      <w:lvlJc w:val="left"/>
      <w:lvlText w:val="(%1)"/>
      <w:numFmt w:val="lowerLetter"/>
      <w:start w:val="1"/>
    </w:lvl>
  </w:abstractNum>
  <w:abstractNum w:abstractNumId="146">
    <w:nsid w:val="F3F09D8"/>
    <w:multiLevelType w:val="hybridMultilevel"/>
    <w:lvl w:ilvl="0">
      <w:lvlJc w:val="left"/>
      <w:lvlText w:val="(%1)"/>
      <w:numFmt w:val="lowerLetter"/>
      <w:start w:val="2"/>
    </w:lvl>
  </w:abstractNum>
  <w:abstractNum w:abstractNumId="147">
    <w:nsid w:val="4B793735"/>
    <w:multiLevelType w:val="hybridMultilevel"/>
    <w:lvl w:ilvl="0">
      <w:lvlJc w:val="left"/>
      <w:lvlText w:val="(%1)"/>
      <w:numFmt w:val="lowerLetter"/>
      <w:start w:val="3"/>
    </w:lvl>
  </w:abstractNum>
  <w:abstractNum w:abstractNumId="148">
    <w:nsid w:val="4A10B4E8"/>
    <w:multiLevelType w:val="hybridMultilevel"/>
    <w:lvl w:ilvl="0">
      <w:lvlJc w:val="left"/>
      <w:lvlText w:val="(%1)"/>
      <w:numFmt w:val="lowerLetter"/>
      <w:start w:val="1"/>
    </w:lvl>
  </w:abstractNum>
  <w:abstractNum w:abstractNumId="149">
    <w:nsid w:val="43D3BCD4"/>
    <w:multiLevelType w:val="hybridMultilevel"/>
    <w:lvl w:ilvl="0">
      <w:lvlJc w:val="left"/>
      <w:lvlText w:val="(%1)"/>
      <w:numFmt w:val="lowerLetter"/>
      <w:start w:val="5"/>
    </w:lvl>
  </w:abstractNum>
  <w:abstractNum w:abstractNumId="150">
    <w:nsid w:val="4C2A7166"/>
    <w:multiLevelType w:val="hybridMultilevel"/>
    <w:lvl w:ilvl="0">
      <w:lvlJc w:val="left"/>
      <w:lvlText w:val="(%1)"/>
      <w:numFmt w:val="lowerLetter"/>
      <w:start w:val="1"/>
    </w:lvl>
  </w:abstractNum>
  <w:abstractNum w:abstractNumId="151">
    <w:nsid w:val="2E534A82"/>
    <w:multiLevelType w:val="hybridMultilevel"/>
    <w:lvl w:ilvl="0">
      <w:lvlJc w:val="left"/>
      <w:lvlText w:val="%1"/>
      <w:numFmt w:val="lowerLetter"/>
      <w:start w:val="1"/>
    </w:lvl>
    <w:lvl w:ilvl="1">
      <w:lvlJc w:val="left"/>
      <w:lvlText w:val="(%2)"/>
      <w:numFmt w:val="lowerLetter"/>
      <w:start w:val="4"/>
    </w:lvl>
  </w:abstractNum>
  <w:abstractNum w:abstractNumId="152">
    <w:nsid w:val="26F2D364"/>
    <w:multiLevelType w:val="hybridMultilevel"/>
    <w:lvl w:ilvl="0">
      <w:lvlJc w:val="left"/>
      <w:lvlText w:val="(%1)"/>
      <w:numFmt w:val="lowerLetter"/>
      <w:start w:val="35"/>
    </w:lvl>
    <w:lvl w:ilvl="1">
      <w:lvlJc w:val="left"/>
      <w:lvlText w:val="(%2)"/>
      <w:numFmt w:val="lowerLetter"/>
      <w:start w:val="7"/>
    </w:lvl>
  </w:abstractNum>
  <w:abstractNum w:abstractNumId="153">
    <w:nsid w:val="71C1AF98"/>
    <w:multiLevelType w:val="hybridMultilevel"/>
    <w:lvl w:ilvl="0">
      <w:lvlJc w:val="left"/>
      <w:lvlText w:val="(%1)"/>
      <w:numFmt w:val="lowerLetter"/>
      <w:start w:val="1"/>
    </w:lvl>
  </w:abstractNum>
  <w:abstractNum w:abstractNumId="154">
    <w:nsid w:val="3D00B9D9"/>
    <w:multiLevelType w:val="hybridMultilevel"/>
    <w:lvl w:ilvl="0">
      <w:lvlJc w:val="left"/>
      <w:lvlText w:val="(%1)"/>
      <w:numFmt w:val="lowerLetter"/>
      <w:start w:val="1"/>
    </w:lvl>
  </w:abstractNum>
  <w:abstractNum w:abstractNumId="155">
    <w:nsid w:val="15BCABA8"/>
    <w:multiLevelType w:val="hybridMultilevel"/>
    <w:lvl w:ilvl="0">
      <w:lvlJc w:val="left"/>
      <w:lvlText w:val="(%1)"/>
      <w:numFmt w:val="lowerLetter"/>
      <w:start w:val="3"/>
    </w:lvl>
  </w:abstractNum>
  <w:abstractNum w:abstractNumId="156">
    <w:nsid w:val="4E0B9A87"/>
    <w:multiLevelType w:val="hybridMultilevel"/>
    <w:lvl w:ilvl="0">
      <w:lvlJc w:val="left"/>
      <w:lvlText w:val="(%1)"/>
      <w:numFmt w:val="lowerLetter"/>
      <w:start w:val="1"/>
    </w:lvl>
  </w:abstractNum>
  <w:abstractNum w:abstractNumId="157">
    <w:nsid w:val="434BAE75"/>
    <w:multiLevelType w:val="hybridMultilevel"/>
    <w:lvl w:ilvl="0">
      <w:lvlJc w:val="left"/>
      <w:lvlText w:val="%1"/>
      <w:numFmt w:val="lowerLetter"/>
      <w:start w:val="1"/>
    </w:lvl>
    <w:lvl w:ilvl="1">
      <w:lvlJc w:val="left"/>
      <w:lvlText w:val="(%2)"/>
      <w:numFmt w:val="lowerLetter"/>
      <w:start w:val="7"/>
    </w:lvl>
  </w:abstractNum>
  <w:abstractNum w:abstractNumId="158">
    <w:nsid w:val="4F38F265"/>
    <w:multiLevelType w:val="hybridMultilevel"/>
    <w:lvl w:ilvl="0">
      <w:lvlJc w:val="left"/>
      <w:lvlText w:val="(%1)"/>
      <w:numFmt w:val="lowerLetter"/>
      <w:start w:val="22"/>
    </w:lvl>
    <w:lvl w:ilvl="1">
      <w:lvlJc w:val="left"/>
      <w:lvlText w:val="(%2)"/>
      <w:numFmt w:val="lowerLetter"/>
      <w:start w:val="11"/>
    </w:lvl>
  </w:abstractNum>
  <w:abstractNum w:abstractNumId="159">
    <w:nsid w:val="4C502870"/>
    <w:multiLevelType w:val="hybridMultilevel"/>
    <w:lvl w:ilvl="0">
      <w:lvlJc w:val="left"/>
      <w:lvlText w:val="(%1)"/>
      <w:numFmt w:val="lowerLetter"/>
      <w:start w:val="1"/>
    </w:lvl>
  </w:abstractNum>
  <w:abstractNum w:abstractNumId="160">
    <w:nsid w:val="1DE8725A"/>
    <w:multiLevelType w:val="hybridMultilevel"/>
    <w:lvl w:ilvl="0">
      <w:lvlJc w:val="left"/>
      <w:lvlText w:val="(%1)"/>
      <w:numFmt w:val="lowerLetter"/>
      <w:start w:val="1"/>
    </w:lvl>
  </w:abstractNum>
  <w:abstractNum w:abstractNumId="161">
    <w:nsid w:val="6A37288A"/>
    <w:multiLevelType w:val="hybridMultilevel"/>
    <w:lvl w:ilvl="0">
      <w:lvlJc w:val="left"/>
      <w:lvlText w:val="(%1)"/>
      <w:numFmt w:val="lowerRoman"/>
      <w:start w:val="1"/>
    </w:lvl>
  </w:abstractNum>
  <w:abstractNum w:abstractNumId="162">
    <w:nsid w:val="8F8B73F"/>
    <w:multiLevelType w:val="hybridMultilevel"/>
    <w:lvl w:ilvl="0">
      <w:lvlJc w:val="left"/>
      <w:lvlText w:val="(%1)"/>
      <w:numFmt w:val="lowerRoman"/>
      <w:start w:val="3"/>
    </w:lvl>
  </w:abstractNum>
  <w:abstractNum w:abstractNumId="163">
    <w:nsid w:val="CA6B462"/>
    <w:multiLevelType w:val="hybridMultilevel"/>
    <w:lvl w:ilvl="0">
      <w:lvlJc w:val="left"/>
      <w:lvlText w:val="%1"/>
      <w:numFmt w:val="upperLetter"/>
      <w:start w:val="1"/>
    </w:lvl>
    <w:lvl w:ilvl="1">
      <w:lvlJc w:val="left"/>
      <w:lvlText w:val="(%2)"/>
      <w:numFmt w:val="lowerLetter"/>
      <w:start w:val="1"/>
    </w:lvl>
  </w:abstractNum>
  <w:abstractNum w:abstractNumId="164">
    <w:nsid w:val="763CB680"/>
    <w:multiLevelType w:val="hybridMultilevel"/>
    <w:lvl w:ilvl="0">
      <w:lvlJc w:val="left"/>
      <w:lvlText w:val="(%1)"/>
      <w:numFmt w:val="upperLetter"/>
      <w:start w:val="2"/>
    </w:lvl>
    <w:lvl w:ilvl="1">
      <w:lvlJc w:val="left"/>
      <w:lvlText w:val="(%2)"/>
      <w:numFmt w:val="lowerLetter"/>
      <w:start w:val="2"/>
    </w:lvl>
  </w:abstractNum>
  <w:abstractNum w:abstractNumId="165">
    <w:nsid w:val="15B71329"/>
    <w:multiLevelType w:val="hybridMultilevel"/>
    <w:lvl w:ilvl="0">
      <w:lvlJc w:val="left"/>
      <w:lvlText w:val="(%1)"/>
      <w:numFmt w:val="lowerLetter"/>
      <w:start w:val="22"/>
    </w:lvl>
    <w:lvl w:ilvl="1">
      <w:lvlJc w:val="left"/>
      <w:lvlText w:val="(%2)"/>
      <w:numFmt w:val="lowerLetter"/>
      <w:start w:val="3"/>
    </w:lvl>
  </w:abstractNum>
  <w:abstractNum w:abstractNumId="166">
    <w:nsid w:val="3DA97044"/>
    <w:multiLevelType w:val="hybridMultilevel"/>
    <w:lvl w:ilvl="0">
      <w:lvlJc w:val="left"/>
      <w:lvlText w:val="(%1)"/>
      <w:numFmt w:val="lowerLetter"/>
      <w:start w:val="35"/>
    </w:lvl>
    <w:lvl w:ilvl="1">
      <w:lvlJc w:val="left"/>
      <w:lvlText w:val="(%2)"/>
      <w:numFmt w:val="lowerLetter"/>
      <w:start w:val="4"/>
    </w:lvl>
  </w:abstractNum>
  <w:abstractNum w:abstractNumId="167">
    <w:nsid w:val="1CDCE2DE"/>
    <w:multiLevelType w:val="hybridMultilevel"/>
    <w:lvl w:ilvl="0">
      <w:lvlJc w:val="left"/>
      <w:lvlText w:val="%1"/>
      <w:numFmt w:val="lowerLetter"/>
      <w:start w:val="1"/>
    </w:lvl>
    <w:lvl w:ilvl="1">
      <w:lvlJc w:val="left"/>
      <w:lvlText w:val="(%2)"/>
      <w:numFmt w:val="lowerLetter"/>
      <w:start w:val="1"/>
    </w:lvl>
  </w:abstractNum>
  <w:abstractNum w:abstractNumId="168">
    <w:nsid w:val="69D3947C"/>
    <w:multiLevelType w:val="hybridMultilevel"/>
    <w:lvl w:ilvl="0">
      <w:lvlJc w:val="left"/>
      <w:lvlText w:val="(%1)"/>
      <w:numFmt w:val="lowerLetter"/>
      <w:start w:val="22"/>
    </w:lvl>
    <w:lvl w:ilvl="1">
      <w:lvlJc w:val="left"/>
      <w:lvlText w:val="%2"/>
      <w:numFmt w:val="lowerLetter"/>
      <w:start w:val="1"/>
    </w:lvl>
  </w:abstractNum>
  <w:abstractNum w:abstractNumId="169">
    <w:nsid w:val="2539DFA5"/>
    <w:multiLevelType w:val="hybridMultilevel"/>
    <w:lvl w:ilvl="0">
      <w:lvlJc w:val="left"/>
      <w:lvlText w:val="(%1)"/>
      <w:numFmt w:val="lowerLetter"/>
      <w:start w:val="9"/>
    </w:lvl>
    <w:lvl w:ilvl="1">
      <w:lvlJc w:val="left"/>
      <w:lvlText w:val="(%2)"/>
      <w:numFmt w:val="lowerRoman"/>
      <w:start w:val="1"/>
    </w:lvl>
  </w:abstractNum>
  <w:abstractNum w:abstractNumId="170">
    <w:nsid w:val="2DB88089"/>
    <w:multiLevelType w:val="hybridMultilevel"/>
    <w:lvl w:ilvl="0">
      <w:lvlJc w:val="left"/>
      <w:lvlText w:val="%1"/>
      <w:numFmt w:val="lowerRoman"/>
      <w:start w:val="1"/>
    </w:lvl>
    <w:lvl w:ilvl="1">
      <w:lvlJc w:val="left"/>
      <w:lvlText w:val="(%2)"/>
      <w:numFmt w:val="lowerRoman"/>
      <w:start w:val="3"/>
    </w:lvl>
  </w:abstractNum>
  <w:abstractNum w:abstractNumId="171">
    <w:nsid w:val="706B674E"/>
    <w:multiLevelType w:val="hybridMultilevel"/>
    <w:lvl w:ilvl="0">
      <w:lvlJc w:val="left"/>
      <w:lvlText w:val="(%1)"/>
      <w:numFmt w:val="lowerRoman"/>
      <w:start w:val="3"/>
    </w:lvl>
    <w:lvl w:ilvl="1">
      <w:lvlJc w:val="left"/>
      <w:lvlText w:val="(%2)"/>
      <w:numFmt w:val="lowerRoman"/>
      <w:start w:val="4"/>
    </w:lvl>
  </w:abstractNum>
  <w:abstractNum w:abstractNumId="172">
    <w:nsid w:val="2C106A57"/>
    <w:multiLevelType w:val="hybridMultilevel"/>
    <w:lvl w:ilvl="0">
      <w:lvlJc w:val="left"/>
      <w:lvlText w:val="(%1)"/>
      <w:numFmt w:val="lowerRoman"/>
      <w:start w:val="8"/>
    </w:lvl>
  </w:abstractNum>
  <w:abstractNum w:abstractNumId="173">
    <w:nsid w:val="684EED59"/>
    <w:multiLevelType w:val="hybridMultilevel"/>
    <w:lvl w:ilvl="0">
      <w:lvlJc w:val="left"/>
      <w:lvlText w:val="(%1)"/>
      <w:numFmt w:val="lowerRoman"/>
      <w:start w:val="1"/>
    </w:lvl>
  </w:abstractNum>
  <w:abstractNum w:abstractNumId="174">
    <w:nsid w:val="545EE5D3"/>
    <w:multiLevelType w:val="hybridMultilevel"/>
    <w:lvl w:ilvl="0">
      <w:lvlJc w:val="left"/>
      <w:lvlText w:val="(%1)"/>
      <w:numFmt w:val="lowerLetter"/>
      <w:start w:val="1"/>
    </w:lvl>
  </w:abstractNum>
  <w:abstractNum w:abstractNumId="175">
    <w:nsid w:val="4A66051"/>
    <w:multiLevelType w:val="hybridMultilevel"/>
    <w:lvl w:ilvl="0">
      <w:lvlJc w:val="left"/>
      <w:lvlText w:val="(%1)"/>
      <w:numFmt w:val="lowerLetter"/>
      <w:start w:val="6"/>
    </w:lvl>
  </w:abstractNum>
  <w:abstractNum w:abstractNumId="176">
    <w:nsid w:val="20F4BDAD"/>
    <w:multiLevelType w:val="hybridMultilevel"/>
    <w:lvl w:ilvl="0">
      <w:lvlJc w:val="left"/>
      <w:lvlText w:val="(%1)"/>
      <w:numFmt w:val="lowerLetter"/>
      <w:start w:val="15"/>
    </w:lvl>
  </w:abstractNum>
  <w:abstractNum w:abstractNumId="177">
    <w:nsid w:val="639DEFAC"/>
    <w:multiLevelType w:val="hybridMultilevel"/>
    <w:lvl w:ilvl="0">
      <w:lvlJc w:val="left"/>
      <w:lvlText w:val="(%1)"/>
      <w:numFmt w:val="lowerLetter"/>
      <w:start w:val="1"/>
    </w:lvl>
    <w:lvl w:ilvl="1">
      <w:lvlJc w:val="left"/>
      <w:lvlText w:val="(%2)"/>
      <w:numFmt w:val="lowerRoman"/>
      <w:start w:val="2"/>
    </w:lvl>
  </w:abstractNum>
  <w:abstractNum w:abstractNumId="178">
    <w:nsid w:val="501F9786"/>
    <w:multiLevelType w:val="hybridMultilevel"/>
    <w:lvl w:ilvl="0">
      <w:lvlJc w:val="left"/>
      <w:lvlText w:val="%1"/>
      <w:numFmt w:val="lowerLetter"/>
      <w:start w:val="1"/>
    </w:lvl>
    <w:lvl w:ilvl="1">
      <w:lvlJc w:val="left"/>
      <w:lvlText w:val="(%2)"/>
      <w:numFmt w:val="lowerLetter"/>
      <w:start w:val="6"/>
    </w:lvl>
  </w:abstractNum>
  <w:abstractNum w:abstractNumId="179">
    <w:nsid w:val="6B057295"/>
    <w:multiLevelType w:val="hybridMultilevel"/>
    <w:lvl w:ilvl="0">
      <w:lvlJc w:val="left"/>
      <w:lvlText w:val="(%1)"/>
      <w:numFmt w:val="lowerLetter"/>
      <w:start w:val="9"/>
    </w:lvl>
    <w:lvl w:ilvl="1">
      <w:lvlJc w:val="left"/>
      <w:lvlText w:val="(%2)"/>
      <w:numFmt w:val="lowerLetter"/>
      <w:start w:val="15"/>
    </w:lvl>
  </w:abstractNum>
  <w:abstractNum w:abstractNumId="180">
    <w:nsid w:val="2771AC80"/>
    <w:multiLevelType w:val="hybridMultilevel"/>
    <w:lvl w:ilvl="0">
      <w:lvlJc w:val="left"/>
      <w:lvlText w:val="(%1)"/>
      <w:numFmt w:val="lowerLetter"/>
      <w:start w:val="9"/>
    </w:lvl>
    <w:lvl w:ilvl="1">
      <w:lvlJc w:val="left"/>
      <w:lvlText w:val="%2"/>
      <w:numFmt w:val="lowerLetter"/>
      <w:start w:val="1"/>
    </w:lvl>
  </w:abstractNum>
  <w:abstractNum w:abstractNumId="181">
    <w:nsid w:val="1C4A08EC"/>
    <w:multiLevelType w:val="hybridMultilevel"/>
    <w:lvl w:ilvl="0">
      <w:lvlJc w:val="left"/>
      <w:lvlText w:val="(%1)"/>
      <w:numFmt w:val="lowerLetter"/>
      <w:start w:val="1"/>
    </w:lvl>
  </w:abstractNum>
  <w:abstractNum w:abstractNumId="182">
    <w:nsid w:val="1958BD17"/>
    <w:multiLevelType w:val="hybridMultilevel"/>
    <w:lvl w:ilvl="0">
      <w:lvlJc w:val="left"/>
      <w:lvlText w:val="(%1)"/>
      <w:numFmt w:val="lowerLetter"/>
      <w:start w:val="1"/>
    </w:lvl>
  </w:abstractNum>
  <w:abstractNum w:abstractNumId="183">
    <w:nsid w:val="4E647FE4"/>
    <w:multiLevelType w:val="hybridMultilevel"/>
    <w:lvl w:ilvl="0">
      <w:lvlJc w:val="left"/>
      <w:lvlText w:val="(%1)"/>
      <w:numFmt w:val="lowerLetter"/>
      <w:start w:val="3"/>
    </w:lvl>
  </w:abstractNum>
  <w:abstractNum w:abstractNumId="184">
    <w:nsid w:val="E0BB885"/>
    <w:multiLevelType w:val="hybridMultilevel"/>
    <w:lvl w:ilvl="0">
      <w:lvlJc w:val="left"/>
      <w:lvlText w:val="%1"/>
      <w:numFmt w:val="lowerLetter"/>
      <w:start w:val="1"/>
    </w:lvl>
    <w:lvl w:ilvl="1">
      <w:lvlJc w:val="left"/>
      <w:lvlText w:val="(%2)"/>
      <w:numFmt w:val="lowerLetter"/>
      <w:start w:val="1"/>
    </w:lvl>
  </w:abstractNum>
  <w:abstractNum w:abstractNumId="185">
    <w:nsid w:val="565976F1"/>
    <w:multiLevelType w:val="hybridMultilevel"/>
    <w:lvl w:ilvl="0">
      <w:lvlJc w:val="left"/>
      <w:lvlText w:val="(%1)"/>
      <w:numFmt w:val="lowerLetter"/>
      <w:start w:val="9"/>
    </w:lvl>
    <w:lvl w:ilvl="1">
      <w:lvlJc w:val="left"/>
      <w:lvlText w:val="(%2)"/>
      <w:numFmt w:val="lowerLetter"/>
      <w:start w:val="5"/>
    </w:lvl>
  </w:abstractNum>
  <w:abstractNum w:abstractNumId="186">
    <w:nsid w:val="64212B8C"/>
    <w:multiLevelType w:val="hybridMultilevel"/>
    <w:lvl w:ilvl="0">
      <w:lvlJc w:val="left"/>
      <w:lvlText w:val="(%1)"/>
      <w:numFmt w:val="lowerLetter"/>
      <w:start w:val="9"/>
    </w:lvl>
    <w:lvl w:ilvl="1">
      <w:lvlJc w:val="left"/>
      <w:lvlText w:val="(%2)"/>
      <w:numFmt w:val="lowerLetter"/>
      <w:start w:val="6"/>
    </w:lvl>
  </w:abstractNum>
  <w:abstractNum w:abstractNumId="187">
    <w:nsid w:val="5C17530C"/>
    <w:multiLevelType w:val="hybridMultilevel"/>
    <w:lvl w:ilvl="0">
      <w:lvlJc w:val="left"/>
      <w:lvlText w:val="(%1)"/>
      <w:numFmt w:val="lowerRoman"/>
      <w:start w:val="1"/>
    </w:lvl>
  </w:abstractNum>
  <w:abstractNum w:abstractNumId="188">
    <w:nsid w:val="19A52566"/>
    <w:multiLevelType w:val="hybridMultilevel"/>
    <w:lvl w:ilvl="0">
      <w:lvlJc w:val="left"/>
      <w:lvlText w:val="(%1)"/>
      <w:numFmt w:val="lowerRoman"/>
      <w:start w:val="2"/>
    </w:lvl>
  </w:abstractNum>
  <w:abstractNum w:abstractNumId="189">
    <w:nsid w:val="335A1DF1"/>
    <w:multiLevelType w:val="hybridMultilevel"/>
    <w:lvl w:ilvl="0">
      <w:lvlJc w:val="left"/>
      <w:lvlText w:val="(%1)"/>
      <w:numFmt w:val="lowerLetter"/>
      <w:start w:val="1"/>
    </w:lvl>
  </w:abstractNum>
  <w:abstractNum w:abstractNumId="190">
    <w:nsid w:val="28677B7C"/>
    <w:multiLevelType w:val="hybridMultilevel"/>
    <w:lvl w:ilvl="0">
      <w:lvlJc w:val="left"/>
      <w:lvlText w:val="(%1)"/>
      <w:numFmt w:val="lowerLetter"/>
      <w:start w:val="1"/>
    </w:lvl>
    <w:lvl w:ilvl="1">
      <w:lvlJc w:val="left"/>
      <w:lvlText w:val="(%2)"/>
      <w:numFmt w:val="lowerLetter"/>
      <w:start w:val="9"/>
    </w:lvl>
  </w:abstractNum>
  <w:abstractNum w:abstractNumId="191">
    <w:nsid w:val="378D97C0"/>
    <w:multiLevelType w:val="hybridMultilevel"/>
    <w:lvl w:ilvl="0">
      <w:lvlJc w:val="left"/>
      <w:lvlText w:val="%1"/>
      <w:numFmt w:val="lowerLetter"/>
      <w:start w:val="1"/>
    </w:lvl>
    <w:lvl w:ilvl="1">
      <w:lvlJc w:val="left"/>
      <w:lvlText w:val="(%2)"/>
      <w:numFmt w:val="lowerLetter"/>
      <w:start w:val="35"/>
    </w:lvl>
  </w:abstractNum>
  <w:abstractNum w:abstractNumId="192">
    <w:nsid w:val="1D91467C"/>
    <w:multiLevelType w:val="hybridMultilevel"/>
    <w:lvl w:ilvl="0">
      <w:lvlJc w:val="left"/>
      <w:lvlText w:val="(%1)"/>
      <w:numFmt w:val="lowerLetter"/>
      <w:start w:val="3"/>
    </w:lvl>
    <w:lvl w:ilvl="1">
      <w:lvlJc w:val="left"/>
      <w:lvlText w:val="%2"/>
      <w:numFmt w:val="lowerLetter"/>
      <w:start w:val="1"/>
    </w:lvl>
  </w:abstractNum>
  <w:abstractNum w:abstractNumId="193">
    <w:nsid w:val="316032BB"/>
    <w:multiLevelType w:val="hybridMultilevel"/>
    <w:lvl w:ilvl="0">
      <w:lvlJc w:val="left"/>
      <w:lvlText w:val="%1"/>
      <w:numFmt w:val="lowerLetter"/>
      <w:start w:val="1"/>
    </w:lvl>
    <w:lvl w:ilvl="1">
      <w:lvlJc w:val="left"/>
      <w:lvlText w:val="(%2)"/>
      <w:numFmt w:val="lowerLetter"/>
      <w:start w:val="1"/>
    </w:lvl>
  </w:abstractNum>
  <w:abstractNum w:abstractNumId="194">
    <w:nsid w:val="44344C22"/>
    <w:multiLevelType w:val="hybridMultilevel"/>
    <w:lvl w:ilvl="0">
      <w:lvlJc w:val="left"/>
      <w:lvlText w:val="(%1)"/>
      <w:numFmt w:val="lowerLetter"/>
      <w:start w:val="61"/>
    </w:lvl>
    <w:lvl w:ilvl="1">
      <w:lvlJc w:val="left"/>
      <w:lvlText w:val="%2"/>
      <w:numFmt w:val="lowerLetter"/>
      <w:start w:val="1"/>
    </w:lvl>
  </w:abstractNum>
  <w:abstractNum w:abstractNumId="195">
    <w:nsid w:val="13CDFCFC"/>
    <w:multiLevelType w:val="hybridMultilevel"/>
    <w:lvl w:ilvl="0">
      <w:lvlJc w:val="left"/>
      <w:lvlText w:val="(%1)"/>
      <w:numFmt w:val="lowerRoman"/>
      <w:start w:val="2"/>
    </w:lvl>
  </w:abstractNum>
  <w:abstractNum w:abstractNumId="196">
    <w:nsid w:val="471745E4"/>
    <w:multiLevelType w:val="hybridMultilevel"/>
    <w:lvl w:ilvl="0">
      <w:lvlJc w:val="left"/>
      <w:lvlText w:val="(%1)"/>
      <w:numFmt w:val="lowerLetter"/>
      <w:start w:val="1"/>
    </w:lvl>
  </w:abstractNum>
  <w:abstractNum w:abstractNumId="197">
    <w:nsid w:val="1DDBC66"/>
    <w:multiLevelType w:val="hybridMultilevel"/>
    <w:lvl w:ilvl="0">
      <w:lvlJc w:val="left"/>
      <w:lvlText w:val="(%1)"/>
      <w:numFmt w:val="lowerRoman"/>
      <w:start w:val="1"/>
    </w:lvl>
  </w:abstractNum>
  <w:abstractNum w:abstractNumId="198">
    <w:nsid w:val="30AADFDA"/>
    <w:multiLevelType w:val="hybridMultilevel"/>
    <w:lvl w:ilvl="0">
      <w:lvlJc w:val="left"/>
      <w:lvlText w:val="(%1)"/>
      <w:numFmt w:val="lowerLetter"/>
      <w:start w:val="1"/>
    </w:lvl>
  </w:abstractNum>
  <w:abstractNum w:abstractNumId="199">
    <w:nsid w:val="30EADA61"/>
    <w:multiLevelType w:val="hybridMultilevel"/>
    <w:lvl w:ilvl="0">
      <w:lvlJc w:val="left"/>
      <w:lvlText w:val="%1"/>
      <w:numFmt w:val="lowerLetter"/>
      <w:start w:val="1"/>
    </w:lvl>
    <w:lvl w:ilvl="1">
      <w:lvlJc w:val="left"/>
      <w:lvlText w:val="(%2)"/>
      <w:numFmt w:val="lowerLetter"/>
      <w:start w:val="5"/>
    </w:lvl>
  </w:abstractNum>
  <w:abstractNum w:abstractNumId="200">
    <w:nsid w:val="27179C0B"/>
    <w:multiLevelType w:val="hybridMultilevel"/>
    <w:lvl w:ilvl="0">
      <w:lvlJc w:val="left"/>
      <w:lvlText w:val="(%1)"/>
      <w:numFmt w:val="lowerLetter"/>
      <w:start w:val="3"/>
    </w:lvl>
    <w:lvl w:ilvl="1">
      <w:lvlJc w:val="left"/>
      <w:lvlText w:val="(%2)"/>
      <w:numFmt w:val="lowerLetter"/>
      <w:start w:val="6"/>
    </w:lvl>
  </w:abstractNum>
  <w:abstractNum w:abstractNumId="201">
    <w:nsid w:val="5E636063"/>
    <w:multiLevelType w:val="hybridMultilevel"/>
    <w:lvl w:ilvl="0">
      <w:lvlJc w:val="left"/>
      <w:lvlText w:val="(%1)"/>
      <w:numFmt w:val="lowerLetter"/>
      <w:start w:val="12"/>
    </w:lvl>
  </w:abstractNum>
  <w:abstractNum w:abstractNumId="202">
    <w:nsid w:val="215641AF"/>
    <w:multiLevelType w:val="hybridMultilevel"/>
    <w:lvl w:ilvl="0">
      <w:lvlJc w:val="left"/>
      <w:lvlText w:val="(%1)"/>
      <w:numFmt w:val="lowerLetter"/>
      <w:start w:val="1"/>
    </w:lvl>
  </w:abstractNum>
  <w:abstractNum w:abstractNumId="203">
    <w:nsid w:val="53280662"/>
    <w:multiLevelType w:val="hybridMultilevel"/>
    <w:lvl w:ilvl="0">
      <w:lvlJc w:val="left"/>
      <w:lvlText w:val="(%1)"/>
      <w:numFmt w:val="lowerLetter"/>
      <w:start w:val="3"/>
    </w:lvl>
  </w:abstractNum>
  <w:abstractNum w:abstractNumId="204">
    <w:nsid w:val="46B24DBC"/>
    <w:multiLevelType w:val="hybridMultilevel"/>
    <w:lvl w:ilvl="0">
      <w:lvlJc w:val="left"/>
      <w:lvlText w:val="(%1)"/>
      <w:numFmt w:val="lowerLetter"/>
      <w:start w:val="1"/>
    </w:lvl>
  </w:abstractNum>
  <w:abstractNum w:abstractNumId="205">
    <w:nsid w:val="75B52783"/>
    <w:multiLevelType w:val="hybridMultilevel"/>
    <w:lvl w:ilvl="0">
      <w:lvlJc w:val="left"/>
      <w:lvlText w:val="(%1)"/>
      <w:numFmt w:val="lowerLetter"/>
      <w:start w:val="1"/>
    </w:lvl>
  </w:abstractNum>
  <w:abstractNum w:abstractNumId="206">
    <w:nsid w:val="57CE66B4"/>
    <w:multiLevelType w:val="hybridMultilevel"/>
    <w:lvl w:ilvl="0">
      <w:lvlJc w:val="left"/>
      <w:lvlText w:val="(%1)"/>
      <w:numFmt w:val="lowerLetter"/>
      <w:start w:val="2"/>
    </w:lvl>
  </w:abstractNum>
  <w:abstractNum w:abstractNumId="207">
    <w:nsid w:val="67A70B69"/>
    <w:multiLevelType w:val="hybridMultilevel"/>
    <w:lvl w:ilvl="0">
      <w:lvlJc w:val="left"/>
      <w:lvlText w:val="(%1)"/>
      <w:numFmt w:val="lowerLetter"/>
      <w:start w:val="1"/>
    </w:lvl>
  </w:abstractNum>
  <w:abstractNum w:abstractNumId="208">
    <w:nsid w:val="5953172F"/>
    <w:multiLevelType w:val="hybridMultilevel"/>
    <w:lvl w:ilvl="0">
      <w:lvlJc w:val="left"/>
      <w:lvlText w:val="(%1)"/>
      <w:numFmt w:val="lowerLetter"/>
      <w:start w:val="1"/>
    </w:lvl>
  </w:abstractNum>
  <w:abstractNum w:abstractNumId="209">
    <w:nsid w:val="27EDFE3A"/>
    <w:multiLevelType w:val="hybridMultilevel"/>
    <w:lvl w:ilvl="0">
      <w:lvlJc w:val="left"/>
      <w:lvlText w:val="(%1)"/>
      <w:numFmt w:val="lowerLetter"/>
      <w:start w:val="1"/>
    </w:lvl>
  </w:abstractNum>
  <w:abstractNum w:abstractNumId="210">
    <w:nsid w:val="52AC7DFF"/>
    <w:multiLevelType w:val="hybridMultilevel"/>
    <w:lvl w:ilvl="0">
      <w:lvlJc w:val="left"/>
      <w:lvlText w:val="(%1)"/>
      <w:numFmt w:val="lowerLetter"/>
      <w:start w:val="1"/>
    </w:lvl>
    <w:lvl w:ilvl="1">
      <w:lvlJc w:val="left"/>
      <w:lvlText w:val="(%2)"/>
      <w:numFmt w:val="lowerRoman"/>
      <w:start w:val="1"/>
    </w:lvl>
  </w:abstractNum>
  <w:abstractNum w:abstractNumId="211">
    <w:nsid w:val="C4C3AF"/>
    <w:multiLevelType w:val="hybridMultilevel"/>
    <w:lvl w:ilvl="0">
      <w:lvlJc w:val="left"/>
      <w:lvlText w:val="(%1)"/>
      <w:numFmt w:val="lowerLetter"/>
      <w:start w:val="1"/>
    </w:lvl>
  </w:abstractNum>
  <w:abstractNum w:abstractNumId="212">
    <w:nsid w:val="44380727"/>
    <w:multiLevelType w:val="hybridMultilevel"/>
    <w:lvl w:ilvl="0">
      <w:lvlJc w:val="left"/>
      <w:lvlText w:val="(%1)"/>
      <w:numFmt w:val="lowerLetter"/>
      <w:start w:val="2"/>
    </w:lvl>
  </w:abstractNum>
  <w:abstractNum w:abstractNumId="213">
    <w:nsid w:val="6C053B16"/>
    <w:multiLevelType w:val="hybridMultilevel"/>
    <w:lvl w:ilvl="0">
      <w:lvlJc w:val="left"/>
      <w:lvlText w:val="(%1)"/>
      <w:numFmt w:val="upperLetter"/>
      <w:start w:val="1"/>
    </w:lvl>
  </w:abstractNum>
  <w:abstractNum w:abstractNumId="214">
    <w:nsid w:val="4F294393"/>
    <w:multiLevelType w:val="hybridMultilevel"/>
    <w:lvl w:ilvl="0">
      <w:lvlJc w:val="left"/>
      <w:lvlText w:val="(%1)"/>
      <w:numFmt w:val="lowerLetter"/>
      <w:start w:val="1"/>
    </w:lvl>
    <w:lvl w:ilvl="1">
      <w:lvlJc w:val="left"/>
      <w:lvlText w:val="(%2)"/>
      <w:numFmt w:val="lowerLetter"/>
      <w:start w:val="9"/>
    </w:lvl>
  </w:abstractNum>
  <w:abstractNum w:abstractNumId="215">
    <w:nsid w:val="5243BFAC"/>
    <w:multiLevelType w:val="hybridMultilevel"/>
    <w:lvl w:ilvl="0">
      <w:lvlJc w:val="left"/>
      <w:lvlText w:val="(%1)"/>
      <w:numFmt w:val="lowerRoman"/>
      <w:start w:val="2"/>
    </w:lvl>
  </w:abstractNum>
  <w:abstractNum w:abstractNumId="216">
    <w:nsid w:val="425EB207"/>
    <w:multiLevelType w:val="hybridMultilevel"/>
    <w:lvl w:ilvl="0">
      <w:lvlJc w:val="left"/>
      <w:lvlText w:val="(%1)"/>
      <w:numFmt w:val="lowerLetter"/>
      <w:start w:val="2"/>
    </w:lvl>
  </w:abstractNum>
  <w:abstractNum w:abstractNumId="217">
    <w:nsid w:val="334A6F1F"/>
    <w:multiLevelType w:val="hybridMultilevel"/>
    <w:lvl w:ilvl="0">
      <w:lvlJc w:val="left"/>
      <w:lvlText w:val="(%1)"/>
      <w:numFmt w:val="lowerLetter"/>
      <w:start w:val="1"/>
    </w:lvl>
  </w:abstractNum>
  <w:abstractNum w:abstractNumId="218">
    <w:nsid w:val="2E5B12B8"/>
    <w:multiLevelType w:val="hybridMultilevel"/>
    <w:lvl w:ilvl="0">
      <w:lvlJc w:val="left"/>
      <w:lvlText w:val="(%1)"/>
      <w:numFmt w:val="lowerLetter"/>
      <w:start w:val="4"/>
    </w:lvl>
  </w:abstractNum>
  <w:abstractNum w:abstractNumId="219">
    <w:nsid w:val="5C03D76D"/>
    <w:multiLevelType w:val="hybridMultilevel"/>
    <w:lvl w:ilvl="0">
      <w:lvlJc w:val="left"/>
      <w:lvlText w:val="(%1)"/>
      <w:numFmt w:val="lowerLetter"/>
      <w:start w:val="1"/>
    </w:lvl>
  </w:abstractNum>
  <w:abstractNum w:abstractNumId="220">
    <w:nsid w:val="66A48D11"/>
    <w:multiLevelType w:val="hybridMultilevel"/>
    <w:lvl w:ilvl="0">
      <w:lvlJc w:val="left"/>
      <w:lvlText w:val="(%1)"/>
      <w:numFmt w:val="lowerLetter"/>
      <w:start w:val="2"/>
    </w:lvl>
  </w:abstractNum>
  <w:abstractNum w:abstractNumId="221">
    <w:nsid w:val="56C28E34"/>
    <w:multiLevelType w:val="hybridMultilevel"/>
    <w:lvl w:ilvl="0">
      <w:lvlJc w:val="left"/>
      <w:lvlText w:val="(%1)"/>
      <w:numFmt w:val="lowerLetter"/>
      <w:start w:val="5"/>
    </w:lvl>
    <w:lvl w:ilvl="1">
      <w:lvlJc w:val="left"/>
      <w:lvlText w:val="(%2)"/>
      <w:numFmt w:val="lowerRoman"/>
      <w:start w:val="1"/>
    </w:lvl>
  </w:abstractNum>
  <w:abstractNum w:abstractNumId="222">
    <w:nsid w:val="13916F2D"/>
    <w:multiLevelType w:val="hybridMultilevel"/>
    <w:lvl w:ilvl="0">
      <w:lvlJc w:val="left"/>
      <w:lvlText w:val="(%1)"/>
      <w:numFmt w:val="lowerLetter"/>
      <w:start w:val="1"/>
    </w:lvl>
  </w:abstractNum>
  <w:abstractNum w:abstractNumId="223">
    <w:nsid w:val="435D38D"/>
    <w:multiLevelType w:val="hybridMultilevel"/>
    <w:lvl w:ilvl="0">
      <w:lvlJc w:val="left"/>
      <w:lvlText w:val="(%1)"/>
      <w:numFmt w:val="lowerLetter"/>
      <w:start w:val="2"/>
    </w:lvl>
  </w:abstractNum>
  <w:abstractNum w:abstractNumId="224">
    <w:nsid w:val="822C0EF"/>
    <w:multiLevelType w:val="hybridMultilevel"/>
    <w:lvl w:ilvl="0">
      <w:lvlJc w:val="left"/>
      <w:lvlText w:val="(%1)"/>
      <w:numFmt w:val="lowerLetter"/>
      <w:start w:val="11"/>
    </w:lvl>
  </w:abstractNum>
  <w:abstractNum w:abstractNumId="225">
    <w:nsid w:val="57C5BB4F"/>
    <w:multiLevelType w:val="hybridMultilevel"/>
    <w:lvl w:ilvl="0">
      <w:lvlJc w:val="left"/>
      <w:lvlText w:val="(%1)"/>
      <w:numFmt w:val="lowerLetter"/>
      <w:start w:val="1"/>
    </w:lvl>
  </w:abstractNum>
  <w:abstractNum w:abstractNumId="226">
    <w:nsid w:val="1803D089"/>
    <w:multiLevelType w:val="hybridMultilevel"/>
    <w:lvl w:ilvl="0">
      <w:lvlJc w:val="left"/>
      <w:lvlText w:val="%1"/>
      <w:numFmt w:val="lowerLetter"/>
      <w:start w:val="1"/>
    </w:lvl>
    <w:lvl w:ilvl="1">
      <w:lvlJc w:val="left"/>
      <w:lvlText w:val="(%2)"/>
      <w:numFmt w:val="lowerLetter"/>
      <w:start w:val="3"/>
    </w:lvl>
  </w:abstractNum>
  <w:abstractNum w:abstractNumId="227">
    <w:nsid w:val="4F3A06D4"/>
    <w:multiLevelType w:val="hybridMultilevel"/>
    <w:lvl w:ilvl="0">
      <w:lvlJc w:val="left"/>
      <w:lvlText w:val="(%1)"/>
      <w:numFmt w:val="lowerLetter"/>
      <w:start w:val="2"/>
    </w:lvl>
    <w:lvl w:ilvl="1">
      <w:lvlJc w:val="left"/>
      <w:lvlText w:val="%2"/>
      <w:numFmt w:val="lowerLetter"/>
      <w:start w:val="1"/>
    </w:lvl>
  </w:abstractNum>
  <w:abstractNum w:abstractNumId="228">
    <w:nsid w:val="59A377B6"/>
    <w:multiLevelType w:val="hybridMultilevel"/>
    <w:lvl w:ilvl="0">
      <w:lvlJc w:val="left"/>
      <w:lvlText w:val="(%1)"/>
      <w:numFmt w:val="lowerLetter"/>
      <w:start w:val="4"/>
    </w:lvl>
  </w:abstractNum>
  <w:abstractNum w:abstractNumId="229">
    <w:nsid w:val="48AEB063"/>
    <w:multiLevelType w:val="hybridMultilevel"/>
    <w:lvl w:ilvl="0">
      <w:lvlJc w:val="left"/>
      <w:lvlText w:val="(%1)"/>
      <w:numFmt w:val="lowerLetter"/>
      <w:start w:val="1"/>
    </w:lvl>
  </w:abstractNum>
  <w:abstractNum w:abstractNumId="230">
    <w:nsid w:val="24E135"/>
    <w:multiLevelType w:val="hybridMultilevel"/>
    <w:lvl w:ilvl="0">
      <w:lvlJc w:val="left"/>
      <w:lvlText w:val="(%1)"/>
      <w:numFmt w:val="lowerLetter"/>
      <w:start w:val="2"/>
    </w:lvl>
  </w:abstractNum>
  <w:abstractNum w:abstractNumId="231">
    <w:nsid w:val="BB13C1"/>
    <w:multiLevelType w:val="hybridMultilevel"/>
    <w:lvl w:ilvl="0">
      <w:lvlJc w:val="left"/>
      <w:lvlText w:val="(%1)"/>
      <w:numFmt w:val="upperLetter"/>
      <w:start w:val="1"/>
    </w:lvl>
  </w:abstractNum>
  <w:abstractNum w:abstractNumId="232">
    <w:nsid w:val="271210C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3">
    <w:nsid w:val="217B22E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34">
    <w:nsid w:val="53E31A24"/>
    <w:multiLevelType w:val="hybridMultilevel"/>
    <w:lvl w:ilvl="0">
      <w:lvlJc w:val="left"/>
      <w:lvlText w:val="%1"/>
      <w:numFmt w:val="lowerRoman"/>
      <w:start w:val="1"/>
    </w:lvl>
    <w:lvl w:ilvl="1">
      <w:lvlJc w:val="left"/>
      <w:lvlText w:val="(%2)"/>
      <w:numFmt w:val="decimal"/>
      <w:start w:val="5"/>
    </w:lvl>
    <w:lvl w:ilvl="2">
      <w:lvlJc w:val="left"/>
      <w:lvlText w:val="%3"/>
      <w:numFmt w:val="upperLetter"/>
      <w:start w:val="1"/>
    </w:lvl>
  </w:abstractNum>
  <w:abstractNum w:abstractNumId="235">
    <w:nsid w:val="6DC45E83"/>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36">
    <w:nsid w:val="17304A67"/>
    <w:multiLevelType w:val="hybridMultilevel"/>
    <w:lvl w:ilvl="0">
      <w:lvlJc w:val="left"/>
      <w:lvlText w:val="(%1)"/>
      <w:numFmt w:val="lowerRoman"/>
      <w:start w:val="6"/>
    </w:lvl>
  </w:abstractNum>
  <w:abstractNum w:abstractNumId="237">
    <w:nsid w:val="2BB180D8"/>
    <w:multiLevelType w:val="hybridMultilevel"/>
    <w:lvl w:ilvl="0">
      <w:lvlJc w:val="left"/>
      <w:lvlText w:val="(%1)"/>
      <w:numFmt w:val="lowerLetter"/>
      <w:start w:val="3"/>
    </w:lvl>
  </w:abstractNum>
  <w:abstractNum w:abstractNumId="238">
    <w:nsid w:val="556B69ED"/>
    <w:multiLevelType w:val="hybridMultilevel"/>
    <w:lvl w:ilvl="0">
      <w:lvlJc w:val="left"/>
      <w:lvlText w:val="%1"/>
      <w:numFmt w:val="lowerLetter"/>
      <w:start w:val="1"/>
    </w:lvl>
    <w:lvl w:ilvl="1">
      <w:lvlJc w:val="left"/>
      <w:lvlText w:val="(%2)"/>
      <w:numFmt w:val="lowerLetter"/>
      <w:start w:val="4"/>
    </w:lvl>
  </w:abstractNum>
  <w:abstractNum w:abstractNumId="239">
    <w:nsid w:val="70836196"/>
    <w:multiLevelType w:val="hybridMultilevel"/>
    <w:lvl w:ilvl="0">
      <w:lvlJc w:val="left"/>
      <w:lvlText w:val="(%1)"/>
      <w:numFmt w:val="lowerLetter"/>
      <w:start w:val="9"/>
    </w:lvl>
    <w:lvl w:ilvl="1">
      <w:lvlJc w:val="left"/>
      <w:lvlText w:val="%2"/>
      <w:numFmt w:val="lowerLetter"/>
      <w:start w:val="1"/>
    </w:lvl>
  </w:abstractNum>
  <w:abstractNum w:abstractNumId="240">
    <w:nsid w:val="539F7F12"/>
    <w:multiLevelType w:val="hybridMultilevel"/>
    <w:lvl w:ilvl="0">
      <w:lvlJc w:val="left"/>
      <w:lvlText w:val="(%1)"/>
      <w:numFmt w:val="lowerLetter"/>
      <w:start w:val="5"/>
    </w:lvl>
  </w:abstractNum>
  <w:abstractNum w:abstractNumId="241">
    <w:nsid w:val="2817E7EC"/>
    <w:multiLevelType w:val="hybridMultilevel"/>
    <w:lvl w:ilvl="0">
      <w:lvlJc w:val="left"/>
      <w:lvlText w:val="(%1)"/>
      <w:numFmt w:val="lowerLetter"/>
      <w:start w:val="6"/>
    </w:lvl>
  </w:abstractNum>
  <w:abstractNum w:abstractNumId="242">
    <w:nsid w:val="71482545"/>
    <w:multiLevelType w:val="hybridMultilevel"/>
    <w:lvl w:ilvl="0">
      <w:lvlJc w:val="left"/>
      <w:lvlText w:val="(%1)"/>
      <w:numFmt w:val="lowerLetter"/>
      <w:start w:val="11"/>
    </w:lvl>
  </w:abstractNum>
  <w:abstractNum w:abstractNumId="243">
    <w:nsid w:val="17D78639"/>
    <w:multiLevelType w:val="hybridMultilevel"/>
    <w:lvl w:ilvl="0">
      <w:lvlJc w:val="left"/>
      <w:lvlText w:val="(%1)"/>
      <w:numFmt w:val="lowerLetter"/>
      <w:start w:val="1"/>
    </w:lvl>
  </w:abstractNum>
  <w:abstractNum w:abstractNumId="244">
    <w:nsid w:val="141D2302"/>
    <w:multiLevelType w:val="hybridMultilevel"/>
    <w:lvl w:ilvl="0">
      <w:lvlJc w:val="left"/>
      <w:lvlText w:val="(%1)"/>
      <w:numFmt w:val="lowerLetter"/>
      <w:start w:val="1"/>
    </w:lvl>
  </w:abstractNum>
  <w:abstractNum w:abstractNumId="245">
    <w:nsid w:val="407168D8"/>
    <w:multiLevelType w:val="hybridMultilevel"/>
    <w:lvl w:ilvl="0">
      <w:lvlJc w:val="left"/>
      <w:lvlText w:val="(%1)"/>
      <w:numFmt w:val="lowerLetter"/>
      <w:start w:val="2"/>
    </w:lvl>
  </w:abstractNum>
  <w:abstractNum w:abstractNumId="246">
    <w:nsid w:val="6A1B45E5"/>
    <w:multiLevelType w:val="hybridMultilevel"/>
    <w:lvl w:ilvl="0">
      <w:lvlJc w:val="left"/>
      <w:lvlText w:val="(%1)"/>
      <w:numFmt w:val="lowerLetter"/>
      <w:start w:val="1"/>
    </w:lvl>
  </w:abstractNum>
  <w:abstractNum w:abstractNumId="247">
    <w:nsid w:val="567BD50A"/>
    <w:multiLevelType w:val="hybridMultilevel"/>
    <w:lvl w:ilvl="0">
      <w:lvlJc w:val="left"/>
      <w:lvlText w:val="(%1)"/>
      <w:numFmt w:val="lowerLetter"/>
      <w:start w:val="1"/>
    </w:lvl>
    <w:lvl w:ilvl="1">
      <w:lvlJc w:val="left"/>
      <w:lvlText w:val="(%2)"/>
      <w:numFmt w:val="lowerRoman"/>
      <w:start w:val="1"/>
    </w:lvl>
  </w:abstractNum>
  <w:abstractNum w:abstractNumId="248">
    <w:nsid w:val="73BBD7F8"/>
    <w:multiLevelType w:val="hybridMultilevel"/>
    <w:lvl w:ilvl="0">
      <w:lvlJc w:val="left"/>
      <w:lvlText w:val="(%1)"/>
      <w:numFmt w:val="lowerLetter"/>
      <w:start w:val="1"/>
    </w:lvl>
    <w:lvl w:ilvl="1">
      <w:lvlJc w:val="left"/>
      <w:lvlText w:val="(%2)"/>
      <w:numFmt w:val="lowerRoman"/>
      <w:start w:val="1"/>
    </w:lvl>
  </w:abstractNum>
  <w:abstractNum w:abstractNumId="249">
    <w:nsid w:val="1876589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50">
    <w:nsid w:val="327FAC7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51">
    <w:nsid w:val="5A606509"/>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252">
    <w:nsid w:val="6F38E6D1"/>
    <w:multiLevelType w:val="hybridMultilevel"/>
    <w:lvl w:ilvl="0">
      <w:lvlJc w:val="left"/>
      <w:lvlText w:val="(%1)"/>
      <w:numFmt w:val="lowerLetter"/>
      <w:start w:val="1"/>
    </w:lvl>
  </w:abstractNum>
  <w:abstractNum w:abstractNumId="253">
    <w:nsid w:val="46111BA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0" Type="http://schemas.openxmlformats.org/officeDocument/2006/relationships/hyperlink" Target="http://www.sec.gov/Archives/edgar/data/1692115/000119312521203319/d18838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2021-08-30T15:15:19Z</dcterms:created>
  <dcterms:modified xsi:type="dcterms:W3CDTF">2021-08-30T15:15:19Z</dcterms:modified>
</cp:coreProperties>
</file>