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5578475"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8475" cy="46990"/>
                    </a:xfrm>
                    <a:prstGeom prst="rect">
                      <a:avLst/>
                    </a:prstGeom>
                    <a:noFill/>
                  </pic:spPr>
                </pic:pic>
              </a:graphicData>
            </a:graphic>
          </wp:anchor>
        </w:drawing>
      </w:r>
    </w:p>
    <w:p>
      <w:pPr>
        <w:jc w:val="center"/>
        <w:ind w:right="14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4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328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419"/>
        <w:spacing w:after="0"/>
        <w:rPr>
          <w:sz w:val="20"/>
          <w:szCs w:val="20"/>
          <w:color w:val="auto"/>
        </w:rPr>
      </w:pPr>
      <w:r>
        <w:rPr>
          <w:rFonts w:ascii="Arial" w:cs="Arial" w:eastAsia="Arial" w:hAnsi="Arial"/>
          <w:sz w:val="32"/>
          <w:szCs w:val="32"/>
          <w:b w:val="1"/>
          <w:bCs w:val="1"/>
          <w:color w:val="auto"/>
        </w:rPr>
        <w:t>Form 8-K/A</w:t>
      </w:r>
    </w:p>
    <w:p>
      <w:pPr>
        <w:spacing w:after="0" w:line="37" w:lineRule="exact"/>
        <w:rPr>
          <w:sz w:val="24"/>
          <w:szCs w:val="24"/>
          <w:color w:val="auto"/>
        </w:rPr>
      </w:pPr>
    </w:p>
    <w:p>
      <w:pPr>
        <w:ind w:left="3260"/>
        <w:spacing w:after="0"/>
        <w:rPr>
          <w:sz w:val="20"/>
          <w:szCs w:val="20"/>
          <w:color w:val="auto"/>
        </w:rPr>
      </w:pPr>
      <w:r>
        <w:rPr>
          <w:rFonts w:ascii="Arial" w:cs="Arial" w:eastAsia="Arial" w:hAnsi="Arial"/>
          <w:sz w:val="24"/>
          <w:szCs w:val="24"/>
          <w:b w:val="1"/>
          <w:bCs w:val="1"/>
          <w:color w:val="auto"/>
        </w:rPr>
        <w:t>CURRENT REPORT</w:t>
      </w:r>
    </w:p>
    <w:p>
      <w:pPr>
        <w:spacing w:after="0" w:line="200" w:lineRule="exact"/>
        <w:rPr>
          <w:sz w:val="24"/>
          <w:szCs w:val="24"/>
          <w:color w:val="auto"/>
        </w:rPr>
      </w:pPr>
    </w:p>
    <w:p>
      <w:pPr>
        <w:spacing w:after="0" w:line="321" w:lineRule="exact"/>
        <w:rPr>
          <w:sz w:val="24"/>
          <w:szCs w:val="24"/>
          <w:color w:val="auto"/>
        </w:rPr>
      </w:pPr>
    </w:p>
    <w:p>
      <w:pPr>
        <w:jc w:val="center"/>
        <w:ind w:right="14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3" w:lineRule="exact"/>
        <w:rPr>
          <w:sz w:val="24"/>
          <w:szCs w:val="24"/>
          <w:color w:val="auto"/>
        </w:rPr>
      </w:pPr>
    </w:p>
    <w:p>
      <w:pPr>
        <w:ind w:left="1540"/>
        <w:spacing w:after="0"/>
        <w:rPr>
          <w:sz w:val="20"/>
          <w:szCs w:val="20"/>
          <w:color w:val="auto"/>
        </w:rPr>
      </w:pPr>
      <w:r>
        <w:rPr>
          <w:rFonts w:ascii="Arial" w:cs="Arial" w:eastAsia="Arial" w:hAnsi="Arial"/>
          <w:sz w:val="22"/>
          <w:szCs w:val="22"/>
          <w:b w:val="1"/>
          <w:bCs w:val="1"/>
          <w:color w:val="auto"/>
        </w:rPr>
        <w:t>Date of Report (Date of earliest event reported) April 29, 2003</w:t>
      </w:r>
    </w:p>
    <w:p>
      <w:pPr>
        <w:spacing w:after="0" w:line="200" w:lineRule="exact"/>
        <w:rPr>
          <w:sz w:val="24"/>
          <w:szCs w:val="24"/>
          <w:color w:val="auto"/>
        </w:rPr>
      </w:pPr>
    </w:p>
    <w:p>
      <w:pPr>
        <w:spacing w:after="0" w:line="303" w:lineRule="exact"/>
        <w:rPr>
          <w:sz w:val="24"/>
          <w:szCs w:val="24"/>
          <w:color w:val="auto"/>
        </w:rPr>
      </w:pPr>
    </w:p>
    <w:p>
      <w:pPr>
        <w:jc w:val="center"/>
        <w:ind w:right="1419"/>
        <w:spacing w:after="0"/>
        <w:rPr>
          <w:sz w:val="20"/>
          <w:szCs w:val="20"/>
          <w:color w:val="auto"/>
        </w:rPr>
      </w:pPr>
      <w:r>
        <w:rPr>
          <w:rFonts w:ascii="Arial" w:cs="Arial" w:eastAsia="Arial" w:hAnsi="Arial"/>
          <w:sz w:val="32"/>
          <w:szCs w:val="32"/>
          <w:b w:val="1"/>
          <w:bCs w:val="1"/>
          <w:color w:val="auto"/>
        </w:rPr>
        <w:t>SOUTHWEST GAS CORPORATION</w:t>
      </w:r>
    </w:p>
    <w:p>
      <w:pPr>
        <w:spacing w:after="0" w:line="34" w:lineRule="exact"/>
        <w:rPr>
          <w:sz w:val="24"/>
          <w:szCs w:val="24"/>
          <w:color w:val="auto"/>
        </w:rPr>
      </w:pPr>
    </w:p>
    <w:p>
      <w:pPr>
        <w:ind w:left="2020"/>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0" w:lineRule="exact"/>
        <w:rPr>
          <w:sz w:val="24"/>
          <w:szCs w:val="24"/>
          <w:color w:val="auto"/>
        </w:rPr>
      </w:pPr>
    </w:p>
    <w:p>
      <w:pPr>
        <w:spacing w:after="0" w:line="319" w:lineRule="exact"/>
        <w:rPr>
          <w:sz w:val="24"/>
          <w:szCs w:val="24"/>
          <w:color w:val="auto"/>
        </w:rPr>
      </w:pPr>
    </w:p>
    <w:tbl>
      <w:tblPr>
        <w:tblLayout w:type="fixed"/>
        <w:tblInd w:w="80" w:type="dxa"/>
        <w:tblCellMar>
          <w:top w:w="0" w:type="dxa"/>
          <w:left w:w="0" w:type="dxa"/>
          <w:bottom w:w="0" w:type="dxa"/>
          <w:right w:w="0" w:type="dxa"/>
        </w:tblCellMar>
      </w:tblPr>
      <w:tr>
        <w:trPr>
          <w:trHeight w:val="222"/>
        </w:trPr>
        <w:tc>
          <w:tcPr>
            <w:tcW w:w="3300" w:type="dxa"/>
            <w:vAlign w:val="bottom"/>
          </w:tcPr>
          <w:p>
            <w:pPr>
              <w:jc w:val="center"/>
              <w:ind w:right="432"/>
              <w:spacing w:after="0"/>
              <w:rPr>
                <w:sz w:val="20"/>
                <w:szCs w:val="20"/>
                <w:color w:val="auto"/>
              </w:rPr>
            </w:pPr>
            <w:r>
              <w:rPr>
                <w:rFonts w:ascii="Arial" w:cs="Arial" w:eastAsia="Arial" w:hAnsi="Arial"/>
                <w:sz w:val="18"/>
                <w:szCs w:val="18"/>
                <w:b w:val="1"/>
                <w:bCs w:val="1"/>
                <w:color w:val="auto"/>
                <w:w w:val="93"/>
              </w:rPr>
              <w:t>California</w:t>
            </w:r>
          </w:p>
        </w:tc>
        <w:tc>
          <w:tcPr>
            <w:tcW w:w="2380" w:type="dxa"/>
            <w:vAlign w:val="bottom"/>
          </w:tcPr>
          <w:p>
            <w:pPr>
              <w:jc w:val="center"/>
              <w:ind w:right="272"/>
              <w:spacing w:after="0"/>
              <w:rPr>
                <w:sz w:val="20"/>
                <w:szCs w:val="20"/>
                <w:color w:val="auto"/>
              </w:rPr>
            </w:pPr>
            <w:r>
              <w:rPr>
                <w:rFonts w:ascii="Arial" w:cs="Arial" w:eastAsia="Arial" w:hAnsi="Arial"/>
                <w:sz w:val="18"/>
                <w:szCs w:val="18"/>
                <w:b w:val="1"/>
                <w:bCs w:val="1"/>
                <w:color w:val="auto"/>
                <w:w w:val="89"/>
              </w:rPr>
              <w:t>1-7850</w:t>
            </w:r>
          </w:p>
        </w:tc>
        <w:tc>
          <w:tcPr>
            <w:tcW w:w="2220" w:type="dxa"/>
            <w:vAlign w:val="bottom"/>
          </w:tcPr>
          <w:p>
            <w:pPr>
              <w:jc w:val="center"/>
              <w:ind w:left="812"/>
              <w:spacing w:after="0"/>
              <w:rPr>
                <w:sz w:val="20"/>
                <w:szCs w:val="20"/>
                <w:color w:val="auto"/>
              </w:rPr>
            </w:pPr>
            <w:r>
              <w:rPr>
                <w:rFonts w:ascii="Arial" w:cs="Arial" w:eastAsia="Arial" w:hAnsi="Arial"/>
                <w:sz w:val="18"/>
                <w:szCs w:val="18"/>
                <w:b w:val="1"/>
                <w:bCs w:val="1"/>
                <w:color w:val="auto"/>
                <w:w w:val="87"/>
              </w:rPr>
              <w:t>88-0085720</w:t>
            </w:r>
          </w:p>
        </w:tc>
      </w:tr>
      <w:tr>
        <w:trPr>
          <w:trHeight w:val="216"/>
        </w:trPr>
        <w:tc>
          <w:tcPr>
            <w:tcW w:w="3300" w:type="dxa"/>
            <w:vAlign w:val="bottom"/>
          </w:tcPr>
          <w:p>
            <w:pPr>
              <w:jc w:val="center"/>
              <w:ind w:right="452"/>
              <w:spacing w:after="0"/>
              <w:rPr>
                <w:sz w:val="20"/>
                <w:szCs w:val="20"/>
                <w:color w:val="auto"/>
              </w:rPr>
            </w:pPr>
            <w:r>
              <w:rPr>
                <w:rFonts w:ascii="Arial" w:cs="Arial" w:eastAsia="Arial" w:hAnsi="Arial"/>
                <w:sz w:val="18"/>
                <w:szCs w:val="18"/>
                <w:color w:val="auto"/>
                <w:w w:val="90"/>
              </w:rPr>
              <w:t>(State or other jurisdiction of</w:t>
            </w:r>
          </w:p>
        </w:tc>
        <w:tc>
          <w:tcPr>
            <w:tcW w:w="2380" w:type="dxa"/>
            <w:vAlign w:val="bottom"/>
          </w:tcPr>
          <w:p>
            <w:pPr>
              <w:jc w:val="center"/>
              <w:ind w:right="272"/>
              <w:spacing w:after="0"/>
              <w:rPr>
                <w:sz w:val="20"/>
                <w:szCs w:val="20"/>
                <w:color w:val="auto"/>
              </w:rPr>
            </w:pPr>
            <w:r>
              <w:rPr>
                <w:rFonts w:ascii="Arial" w:cs="Arial" w:eastAsia="Arial" w:hAnsi="Arial"/>
                <w:sz w:val="18"/>
                <w:szCs w:val="18"/>
                <w:color w:val="auto"/>
                <w:w w:val="89"/>
              </w:rPr>
              <w:t>(Commission</w:t>
            </w:r>
          </w:p>
        </w:tc>
        <w:tc>
          <w:tcPr>
            <w:tcW w:w="2220" w:type="dxa"/>
            <w:vAlign w:val="bottom"/>
          </w:tcPr>
          <w:p>
            <w:pPr>
              <w:jc w:val="center"/>
              <w:ind w:left="812"/>
              <w:spacing w:after="0"/>
              <w:rPr>
                <w:sz w:val="20"/>
                <w:szCs w:val="20"/>
                <w:color w:val="auto"/>
              </w:rPr>
            </w:pPr>
            <w:r>
              <w:rPr>
                <w:rFonts w:ascii="Arial" w:cs="Arial" w:eastAsia="Arial" w:hAnsi="Arial"/>
                <w:sz w:val="18"/>
                <w:szCs w:val="18"/>
                <w:color w:val="auto"/>
                <w:w w:val="90"/>
              </w:rPr>
              <w:t>(I.R.S. Employer</w:t>
            </w:r>
          </w:p>
        </w:tc>
      </w:tr>
      <w:tr>
        <w:trPr>
          <w:trHeight w:val="222"/>
        </w:trPr>
        <w:tc>
          <w:tcPr>
            <w:tcW w:w="3300" w:type="dxa"/>
            <w:vAlign w:val="bottom"/>
          </w:tcPr>
          <w:p>
            <w:pPr>
              <w:jc w:val="center"/>
              <w:ind w:right="432"/>
              <w:spacing w:after="0"/>
              <w:rPr>
                <w:sz w:val="20"/>
                <w:szCs w:val="20"/>
                <w:color w:val="auto"/>
              </w:rPr>
            </w:pPr>
            <w:r>
              <w:rPr>
                <w:rFonts w:ascii="Arial" w:cs="Arial" w:eastAsia="Arial" w:hAnsi="Arial"/>
                <w:sz w:val="18"/>
                <w:szCs w:val="18"/>
                <w:color w:val="auto"/>
                <w:w w:val="89"/>
              </w:rPr>
              <w:t>incorporation or organization)</w:t>
            </w:r>
          </w:p>
        </w:tc>
        <w:tc>
          <w:tcPr>
            <w:tcW w:w="2380" w:type="dxa"/>
            <w:vAlign w:val="bottom"/>
          </w:tcPr>
          <w:p>
            <w:pPr>
              <w:jc w:val="center"/>
              <w:ind w:right="272"/>
              <w:spacing w:after="0"/>
              <w:rPr>
                <w:sz w:val="20"/>
                <w:szCs w:val="20"/>
                <w:color w:val="auto"/>
              </w:rPr>
            </w:pPr>
            <w:r>
              <w:rPr>
                <w:rFonts w:ascii="Arial" w:cs="Arial" w:eastAsia="Arial" w:hAnsi="Arial"/>
                <w:sz w:val="18"/>
                <w:szCs w:val="18"/>
                <w:color w:val="auto"/>
                <w:w w:val="90"/>
              </w:rPr>
              <w:t>File Number)</w:t>
            </w:r>
          </w:p>
        </w:tc>
        <w:tc>
          <w:tcPr>
            <w:tcW w:w="2220" w:type="dxa"/>
            <w:vAlign w:val="bottom"/>
          </w:tcPr>
          <w:p>
            <w:pPr>
              <w:jc w:val="center"/>
              <w:ind w:left="812"/>
              <w:spacing w:after="0"/>
              <w:rPr>
                <w:sz w:val="20"/>
                <w:szCs w:val="20"/>
                <w:color w:val="auto"/>
              </w:rPr>
            </w:pPr>
            <w:r>
              <w:rPr>
                <w:rFonts w:ascii="Arial" w:cs="Arial" w:eastAsia="Arial" w:hAnsi="Arial"/>
                <w:sz w:val="18"/>
                <w:szCs w:val="18"/>
                <w:color w:val="auto"/>
                <w:w w:val="94"/>
              </w:rPr>
              <w:t>Identification No.)</w:t>
            </w:r>
          </w:p>
        </w:tc>
      </w:tr>
      <w:tr>
        <w:trPr>
          <w:trHeight w:val="636"/>
        </w:trPr>
        <w:tc>
          <w:tcPr>
            <w:tcW w:w="3300" w:type="dxa"/>
            <w:vAlign w:val="bottom"/>
          </w:tcPr>
          <w:p>
            <w:pPr>
              <w:jc w:val="center"/>
              <w:ind w:right="432"/>
              <w:spacing w:after="0"/>
              <w:rPr>
                <w:sz w:val="20"/>
                <w:szCs w:val="20"/>
                <w:color w:val="auto"/>
              </w:rPr>
            </w:pPr>
            <w:r>
              <w:rPr>
                <w:rFonts w:ascii="Arial" w:cs="Arial" w:eastAsia="Arial" w:hAnsi="Arial"/>
                <w:sz w:val="18"/>
                <w:szCs w:val="18"/>
                <w:b w:val="1"/>
                <w:bCs w:val="1"/>
                <w:color w:val="auto"/>
                <w:w w:val="90"/>
              </w:rPr>
              <w:t>5241 Spring Mountain Road</w:t>
            </w:r>
          </w:p>
        </w:tc>
        <w:tc>
          <w:tcPr>
            <w:tcW w:w="2380" w:type="dxa"/>
            <w:vAlign w:val="bottom"/>
          </w:tcPr>
          <w:p>
            <w:pPr>
              <w:spacing w:after="0"/>
              <w:rPr>
                <w:sz w:val="24"/>
                <w:szCs w:val="24"/>
                <w:color w:val="auto"/>
              </w:rPr>
            </w:pPr>
          </w:p>
        </w:tc>
        <w:tc>
          <w:tcPr>
            <w:tcW w:w="2220" w:type="dxa"/>
            <w:vAlign w:val="bottom"/>
          </w:tcPr>
          <w:p>
            <w:pPr>
              <w:jc w:val="center"/>
              <w:ind w:left="812"/>
              <w:spacing w:after="0"/>
              <w:rPr>
                <w:sz w:val="20"/>
                <w:szCs w:val="20"/>
                <w:color w:val="auto"/>
              </w:rPr>
            </w:pPr>
            <w:r>
              <w:rPr>
                <w:rFonts w:ascii="Arial" w:cs="Arial" w:eastAsia="Arial" w:hAnsi="Arial"/>
                <w:sz w:val="18"/>
                <w:szCs w:val="18"/>
                <w:b w:val="1"/>
                <w:bCs w:val="1"/>
                <w:color w:val="auto"/>
                <w:w w:val="87"/>
              </w:rPr>
              <w:t>89193-8510</w:t>
            </w:r>
          </w:p>
        </w:tc>
      </w:tr>
      <w:tr>
        <w:trPr>
          <w:trHeight w:val="216"/>
        </w:trPr>
        <w:tc>
          <w:tcPr>
            <w:tcW w:w="3300" w:type="dxa"/>
            <w:vAlign w:val="bottom"/>
          </w:tcPr>
          <w:p>
            <w:pPr>
              <w:jc w:val="center"/>
              <w:ind w:right="452"/>
              <w:spacing w:after="0"/>
              <w:rPr>
                <w:sz w:val="20"/>
                <w:szCs w:val="20"/>
                <w:color w:val="auto"/>
              </w:rPr>
            </w:pPr>
            <w:r>
              <w:rPr>
                <w:rFonts w:ascii="Arial" w:cs="Arial" w:eastAsia="Arial" w:hAnsi="Arial"/>
                <w:sz w:val="18"/>
                <w:szCs w:val="18"/>
                <w:b w:val="1"/>
                <w:bCs w:val="1"/>
                <w:color w:val="auto"/>
                <w:w w:val="86"/>
              </w:rPr>
              <w:t>Post Office Box 98510</w:t>
            </w:r>
          </w:p>
        </w:tc>
        <w:tc>
          <w:tcPr>
            <w:tcW w:w="2380" w:type="dxa"/>
            <w:vAlign w:val="bottom"/>
          </w:tcPr>
          <w:p>
            <w:pPr>
              <w:spacing w:after="0"/>
              <w:rPr>
                <w:sz w:val="18"/>
                <w:szCs w:val="18"/>
                <w:color w:val="auto"/>
              </w:rPr>
            </w:pPr>
          </w:p>
        </w:tc>
        <w:tc>
          <w:tcPr>
            <w:tcW w:w="2220" w:type="dxa"/>
            <w:vAlign w:val="bottom"/>
          </w:tcPr>
          <w:p>
            <w:pPr>
              <w:jc w:val="center"/>
              <w:ind w:left="812"/>
              <w:spacing w:after="0"/>
              <w:rPr>
                <w:sz w:val="20"/>
                <w:szCs w:val="20"/>
                <w:color w:val="auto"/>
              </w:rPr>
            </w:pPr>
            <w:r>
              <w:rPr>
                <w:rFonts w:ascii="Arial" w:cs="Arial" w:eastAsia="Arial" w:hAnsi="Arial"/>
                <w:sz w:val="18"/>
                <w:szCs w:val="18"/>
                <w:color w:val="auto"/>
                <w:w w:val="89"/>
              </w:rPr>
              <w:t>(Zip Code)</w:t>
            </w:r>
          </w:p>
        </w:tc>
      </w:tr>
      <w:tr>
        <w:trPr>
          <w:trHeight w:val="222"/>
        </w:trPr>
        <w:tc>
          <w:tcPr>
            <w:tcW w:w="3300" w:type="dxa"/>
            <w:vAlign w:val="bottom"/>
          </w:tcPr>
          <w:p>
            <w:pPr>
              <w:jc w:val="center"/>
              <w:ind w:right="45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22"/>
        </w:trPr>
        <w:tc>
          <w:tcPr>
            <w:tcW w:w="3300" w:type="dxa"/>
            <w:vAlign w:val="bottom"/>
          </w:tcPr>
          <w:p>
            <w:pPr>
              <w:jc w:val="center"/>
              <w:ind w:right="432"/>
              <w:spacing w:after="0"/>
              <w:rPr>
                <w:sz w:val="20"/>
                <w:szCs w:val="20"/>
                <w:color w:val="auto"/>
              </w:rPr>
            </w:pPr>
            <w:r>
              <w:rPr>
                <w:rFonts w:ascii="Arial" w:cs="Arial" w:eastAsia="Arial" w:hAnsi="Arial"/>
                <w:sz w:val="18"/>
                <w:szCs w:val="18"/>
                <w:color w:val="auto"/>
                <w:w w:val="90"/>
              </w:rPr>
              <w:t>(Address of principal executive offices)</w:t>
            </w:r>
          </w:p>
        </w:tc>
        <w:tc>
          <w:tcPr>
            <w:tcW w:w="2380" w:type="dxa"/>
            <w:vAlign w:val="bottom"/>
          </w:tcPr>
          <w:p>
            <w:pPr>
              <w:spacing w:after="0"/>
              <w:rPr>
                <w:sz w:val="19"/>
                <w:szCs w:val="19"/>
                <w:color w:val="auto"/>
              </w:rPr>
            </w:pPr>
          </w:p>
        </w:tc>
        <w:tc>
          <w:tcPr>
            <w:tcW w:w="2220" w:type="dxa"/>
            <w:vAlign w:val="bottom"/>
          </w:tcPr>
          <w:p>
            <w:pPr>
              <w:spacing w:after="0"/>
              <w:rPr>
                <w:sz w:val="19"/>
                <w:szCs w:val="19"/>
                <w:color w:val="auto"/>
              </w:rPr>
            </w:pPr>
          </w:p>
        </w:tc>
      </w:tr>
    </w:tbl>
    <w:p>
      <w:pPr>
        <w:spacing w:after="0" w:line="200" w:lineRule="exact"/>
        <w:rPr>
          <w:sz w:val="24"/>
          <w:szCs w:val="24"/>
          <w:color w:val="auto"/>
        </w:rPr>
      </w:pPr>
    </w:p>
    <w:p>
      <w:pPr>
        <w:spacing w:after="0" w:line="274"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Registrant's telephone number, including area code: (702) 876-7237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55784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8475" cy="469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1022985</wp:posOffset>
            </wp:positionV>
            <wp:extent cx="559943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9943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 Financial Statements and Exhibits.</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(c)  Exhibit</w:t>
      </w:r>
    </w:p>
    <w:p>
      <w:pPr>
        <w:spacing w:after="0" w:line="225" w:lineRule="exact"/>
        <w:rPr>
          <w:sz w:val="24"/>
          <w:szCs w:val="24"/>
          <w:color w:val="auto"/>
        </w:rPr>
      </w:pPr>
    </w:p>
    <w:p>
      <w:pPr>
        <w:spacing w:after="0"/>
        <w:tabs>
          <w:tab w:leader="none" w:pos="3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5"/>
          <w:szCs w:val="15"/>
          <w:color w:val="auto"/>
        </w:rPr>
        <w:t>Press Release dated April 29, 2003.</w:t>
      </w:r>
    </w:p>
    <w:p>
      <w:pPr>
        <w:spacing w:after="0" w:line="300" w:lineRule="exact"/>
        <w:rPr>
          <w:sz w:val="24"/>
          <w:szCs w:val="24"/>
          <w:color w:val="auto"/>
        </w:rPr>
      </w:pPr>
    </w:p>
    <w:p>
      <w:pPr>
        <w:ind w:right="1639"/>
        <w:spacing w:after="0" w:line="257" w:lineRule="auto"/>
        <w:rPr>
          <w:sz w:val="20"/>
          <w:szCs w:val="20"/>
          <w:color w:val="auto"/>
        </w:rPr>
      </w:pPr>
      <w:r>
        <w:rPr>
          <w:rFonts w:ascii="Arial" w:cs="Arial" w:eastAsia="Arial" w:hAnsi="Arial"/>
          <w:sz w:val="18"/>
          <w:szCs w:val="18"/>
          <w:b w:val="1"/>
          <w:bCs w:val="1"/>
          <w:color w:val="auto"/>
        </w:rPr>
        <w:t>Item 9. Regulation FD Disclosure (the following discussion is furnished under “Item 12. Results of Operations and Financial</w:t>
      </w:r>
    </w:p>
    <w:p>
      <w:pPr>
        <w:spacing w:after="0" w:line="1"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Condition”).</w:t>
      </w:r>
    </w:p>
    <w:p>
      <w:pPr>
        <w:spacing w:after="0" w:line="286" w:lineRule="exact"/>
        <w:rPr>
          <w:sz w:val="24"/>
          <w:szCs w:val="24"/>
          <w:color w:val="auto"/>
        </w:rPr>
      </w:pPr>
    </w:p>
    <w:p>
      <w:pPr>
        <w:ind w:right="1439"/>
        <w:spacing w:after="0" w:line="256" w:lineRule="auto"/>
        <w:rPr>
          <w:sz w:val="20"/>
          <w:szCs w:val="20"/>
          <w:color w:val="auto"/>
        </w:rPr>
      </w:pPr>
      <w:r>
        <w:rPr>
          <w:rFonts w:ascii="Arial" w:cs="Arial" w:eastAsia="Arial" w:hAnsi="Arial"/>
          <w:sz w:val="18"/>
          <w:szCs w:val="18"/>
          <w:color w:val="auto"/>
        </w:rPr>
        <w:t>The Summary Unaudited Operating Results included in the Form 8-K furnished on April 29, 2003 inadvertently contained operating results for the quarters and twelve months ended March 31, 2002 and 2001. This Form 8-K/A includes Summary Unaudited Operating Results for the quarters and twelve months ended March 31, 2003 and 2002. The revised version of the 8-K is set forth below in its entirety.</w:t>
      </w:r>
    </w:p>
    <w:p>
      <w:pPr>
        <w:spacing w:after="0" w:line="197" w:lineRule="exact"/>
        <w:rPr>
          <w:sz w:val="24"/>
          <w:szCs w:val="24"/>
          <w:color w:val="auto"/>
        </w:rPr>
      </w:pPr>
    </w:p>
    <w:p>
      <w:pPr>
        <w:ind w:right="1799"/>
        <w:spacing w:after="0" w:line="332" w:lineRule="auto"/>
        <w:rPr>
          <w:sz w:val="20"/>
          <w:szCs w:val="20"/>
          <w:color w:val="auto"/>
        </w:rPr>
      </w:pPr>
      <w:r>
        <w:rPr>
          <w:rFonts w:ascii="Arial" w:cs="Arial" w:eastAsia="Arial" w:hAnsi="Arial"/>
          <w:sz w:val="16"/>
          <w:szCs w:val="16"/>
          <w:color w:val="auto"/>
        </w:rPr>
        <w:t>In accordance with SEC Release Nos. 33-8216 and 34-47583, the following information, required to be furnished under “Item 12. Results of Operations and Financial Condition,” is furnished under “Item 9. Regulation FD Disclosure.”</w:t>
      </w:r>
    </w:p>
    <w:p>
      <w:pPr>
        <w:spacing w:after="0" w:line="139" w:lineRule="exact"/>
        <w:rPr>
          <w:sz w:val="24"/>
          <w:szCs w:val="24"/>
          <w:color w:val="auto"/>
        </w:rPr>
      </w:pPr>
    </w:p>
    <w:p>
      <w:pPr>
        <w:ind w:right="1759"/>
        <w:spacing w:after="0" w:line="306" w:lineRule="auto"/>
        <w:rPr>
          <w:sz w:val="20"/>
          <w:szCs w:val="20"/>
          <w:color w:val="auto"/>
        </w:rPr>
      </w:pPr>
      <w:r>
        <w:rPr>
          <w:rFonts w:ascii="Arial" w:cs="Arial" w:eastAsia="Arial" w:hAnsi="Arial"/>
          <w:sz w:val="16"/>
          <w:szCs w:val="16"/>
          <w:color w:val="auto"/>
        </w:rPr>
        <w:t>On April 29, 2003, Southwest Gas Corporation (the Company) released summary financial information to the general public, including the investment community, regarding the Company’s operating performance for the quarter and twelve months ended March 31, 2003. A copy of the Company’s press release is attached hereto as Exhibit 99.</w:t>
      </w:r>
    </w:p>
    <w:p>
      <w:pPr>
        <w:sectPr>
          <w:pgSz w:w="11900" w:h="16838" w:orient="portrait"/>
          <w:cols w:equalWidth="0" w:num="1">
            <w:col w:w="10219"/>
          </w:cols>
          <w:pgMar w:left="240" w:top="1440" w:right="1440" w:bottom="43" w:gutter="0" w:footer="0" w:header="0"/>
        </w:sectPr>
      </w:pPr>
    </w:p>
    <w:bookmarkStart w:id="1" w:name="page2"/>
    <w:bookmarkEnd w:id="1"/>
    <w:p>
      <w:pPr>
        <w:ind w:right="1599"/>
        <w:spacing w:after="0" w:line="268" w:lineRule="auto"/>
        <w:rPr>
          <w:sz w:val="20"/>
          <w:szCs w:val="20"/>
          <w:color w:val="auto"/>
        </w:rPr>
      </w:pPr>
      <w:r>
        <w:rPr>
          <w:rFonts w:ascii="Arial" w:cs="Arial" w:eastAsia="Arial" w:hAnsi="Arial"/>
          <w:sz w:val="18"/>
          <w:szCs w:val="18"/>
          <w:color w:val="auto"/>
        </w:rPr>
        <w:t>This Form 8-K/A and the attached exhibit are provided under Item 12 of Form 8-K and are furnished to, but not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559943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994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419"/>
        <w:spacing w:after="0"/>
        <w:rPr>
          <w:sz w:val="20"/>
          <w:szCs w:val="20"/>
          <w:color w:val="auto"/>
        </w:rPr>
      </w:pPr>
      <w:r>
        <w:rPr>
          <w:rFonts w:ascii="Arial" w:cs="Arial" w:eastAsia="Arial" w:hAnsi="Arial"/>
          <w:sz w:val="24"/>
          <w:szCs w:val="24"/>
          <w:b w:val="1"/>
          <w:bCs w:val="1"/>
          <w:color w:val="auto"/>
        </w:rPr>
        <w:t>SOUTHWEST GAS CORPORATION</w:t>
      </w:r>
    </w:p>
    <w:p>
      <w:pPr>
        <w:spacing w:after="0" w:line="36" w:lineRule="exact"/>
        <w:rPr>
          <w:sz w:val="20"/>
          <w:szCs w:val="20"/>
          <w:color w:val="auto"/>
        </w:rPr>
      </w:pPr>
    </w:p>
    <w:p>
      <w:pPr>
        <w:jc w:val="center"/>
        <w:ind w:right="1479"/>
        <w:spacing w:after="0"/>
        <w:rPr>
          <w:sz w:val="20"/>
          <w:szCs w:val="20"/>
          <w:color w:val="auto"/>
        </w:rPr>
      </w:pPr>
      <w:r>
        <w:rPr>
          <w:rFonts w:ascii="Arial" w:cs="Arial" w:eastAsia="Arial" w:hAnsi="Arial"/>
          <w:sz w:val="24"/>
          <w:szCs w:val="24"/>
          <w:b w:val="1"/>
          <w:bCs w:val="1"/>
          <w:color w:val="auto"/>
        </w:rPr>
        <w:t>SUMMARY UNAUDITED OPERATING RESULTS</w:t>
      </w:r>
    </w:p>
    <w:p>
      <w:pPr>
        <w:spacing w:after="0" w:line="1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9"/>
              </w:rPr>
              <w:t>THREE MONTHS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9"/>
              </w:rPr>
              <w:t>TWELVE MONTHS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8"/>
              </w:rPr>
              <w:t>ENDED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8"/>
              </w:rPr>
              <w:t>ENDED</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6"/>
              </w:rPr>
              <w:t>MARCH 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6"/>
              </w:rPr>
              <w:t>MARCH 31,</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2003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2002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Results of Consolidated Operations</w:t>
            </w: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Contribution to net income - gas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25,336</w:t>
            </w:r>
          </w:p>
        </w:tc>
        <w:tc>
          <w:tcPr>
            <w:tcW w:w="18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42,487</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22,077</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41,784</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Contribution to net income - construction services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4,459</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25,539</w:t>
            </w:r>
          </w:p>
        </w:tc>
        <w:tc>
          <w:tcPr>
            <w:tcW w:w="18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42,896</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26,608</w:t>
            </w:r>
          </w:p>
        </w:tc>
        <w:tc>
          <w:tcPr>
            <w:tcW w:w="1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46,243</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000" w:type="dxa"/>
            <w:vAlign w:val="bottom"/>
          </w:tcPr>
          <w:p>
            <w:pPr>
              <w:spacing w:after="0"/>
              <w:rPr>
                <w:sz w:val="20"/>
                <w:szCs w:val="20"/>
                <w:color w:val="auto"/>
              </w:rPr>
            </w:pPr>
            <w:r>
              <w:rPr>
                <w:rFonts w:ascii="Arial" w:cs="Arial" w:eastAsia="Arial" w:hAnsi="Arial"/>
                <w:sz w:val="18"/>
                <w:szCs w:val="18"/>
                <w:color w:val="auto"/>
              </w:rPr>
              <w:t>Earnings per share - gas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0.75</w:t>
            </w:r>
          </w:p>
        </w:tc>
        <w:tc>
          <w:tcPr>
            <w:tcW w:w="18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0.66</w:t>
            </w:r>
          </w:p>
        </w:tc>
        <w:tc>
          <w:tcPr>
            <w:tcW w:w="1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Earnings per share - construction services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0.76</w:t>
            </w:r>
          </w:p>
        </w:tc>
        <w:tc>
          <w:tcPr>
            <w:tcW w:w="18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0.80</w:t>
            </w:r>
          </w:p>
        </w:tc>
        <w:tc>
          <w:tcPr>
            <w:tcW w:w="1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0.76</w:t>
            </w:r>
          </w:p>
        </w:tc>
        <w:tc>
          <w:tcPr>
            <w:tcW w:w="18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0.80</w:t>
            </w:r>
          </w:p>
        </w:tc>
        <w:tc>
          <w:tcPr>
            <w:tcW w:w="1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000" w:type="dxa"/>
            <w:vAlign w:val="bottom"/>
          </w:tcPr>
          <w:p>
            <w:pPr>
              <w:spacing w:after="0"/>
              <w:rPr>
                <w:sz w:val="20"/>
                <w:szCs w:val="20"/>
                <w:color w:val="auto"/>
              </w:rPr>
            </w:pPr>
            <w:r>
              <w:rPr>
                <w:rFonts w:ascii="Arial" w:cs="Arial" w:eastAsia="Arial" w:hAnsi="Arial"/>
                <w:sz w:val="18"/>
                <w:szCs w:val="18"/>
                <w:color w:val="auto"/>
              </w:rPr>
              <w:t>Average outstanding common shares</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33,438</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32,620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33,155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32,319</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33,659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32,871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32,596</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000" w:type="dxa"/>
            <w:vAlign w:val="bottom"/>
          </w:tcPr>
          <w:p>
            <w:pPr>
              <w:spacing w:after="0"/>
              <w:rPr>
                <w:sz w:val="20"/>
                <w:szCs w:val="20"/>
                <w:color w:val="auto"/>
              </w:rPr>
            </w:pPr>
            <w:r>
              <w:rPr>
                <w:rFonts w:ascii="Arial" w:cs="Arial" w:eastAsia="Arial" w:hAnsi="Arial"/>
                <w:sz w:val="18"/>
                <w:szCs w:val="18"/>
                <w:b w:val="1"/>
                <w:bCs w:val="1"/>
                <w:color w:val="auto"/>
              </w:rPr>
              <w:t>Results of Natural Gas Operations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Gas 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359,983</w:t>
            </w:r>
          </w:p>
        </w:tc>
        <w:tc>
          <w:tcPr>
            <w:tcW w:w="18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456,205</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1,019,678</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1,202,087</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Net cost of gas sold</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193,472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274,663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482,188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672,503</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000" w:type="dxa"/>
            <w:vAlign w:val="bottom"/>
          </w:tcPr>
          <w:p>
            <w:pPr>
              <w:spacing w:after="0"/>
              <w:rPr>
                <w:sz w:val="20"/>
                <w:szCs w:val="20"/>
                <w:color w:val="auto"/>
              </w:rPr>
            </w:pPr>
            <w:r>
              <w:rPr>
                <w:rFonts w:ascii="Arial" w:cs="Arial" w:eastAsia="Arial" w:hAnsi="Arial"/>
                <w:sz w:val="18"/>
                <w:szCs w:val="18"/>
                <w:color w:val="auto"/>
              </w:rPr>
              <w:t>Operating margin</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166,511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181,542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537,490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529,584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Operations and maintenance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66,057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65,302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264,943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258,118</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27,802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116,696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106,656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Taxes other than income taxes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9,300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9,020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34,845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33,081</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00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61,831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79,418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121,006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131,729</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9,697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15,415</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000" w:type="dxa"/>
            <w:vAlign w:val="bottom"/>
          </w:tcPr>
          <w:p>
            <w:pPr>
              <w:spacing w:after="0"/>
              <w:rPr>
                <w:sz w:val="20"/>
                <w:szCs w:val="20"/>
                <w:color w:val="auto"/>
              </w:rPr>
            </w:pPr>
            <w:r>
              <w:rPr>
                <w:rFonts w:ascii="Arial" w:cs="Arial" w:eastAsia="Arial" w:hAnsi="Arial"/>
                <w:sz w:val="18"/>
                <w:szCs w:val="18"/>
                <w:color w:val="auto"/>
              </w:rPr>
              <w:t>Income before interest and income taxes</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61,563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89,115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114,149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147,144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interest deductions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18,635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79,819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77,606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Preferred securities distributions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1,369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5,475</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14,909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26,624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22,279</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00" w:type="dxa"/>
            <w:vAlign w:val="bottom"/>
          </w:tcPr>
          <w:p>
            <w:pPr>
              <w:spacing w:after="0"/>
              <w:rPr>
                <w:sz w:val="20"/>
                <w:szCs w:val="20"/>
                <w:color w:val="auto"/>
              </w:rPr>
            </w:pPr>
            <w:r>
              <w:rPr>
                <w:rFonts w:ascii="Arial" w:cs="Arial" w:eastAsia="Arial" w:hAnsi="Arial"/>
                <w:sz w:val="18"/>
                <w:szCs w:val="18"/>
                <w:color w:val="auto"/>
              </w:rPr>
              <w:t>Contribution to net income - gas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25,336</w:t>
            </w:r>
          </w:p>
        </w:tc>
        <w:tc>
          <w:tcPr>
            <w:tcW w:w="18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42,487</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22,077</w:t>
            </w:r>
          </w:p>
        </w:tc>
        <w:tc>
          <w:tcPr>
            <w:tcW w:w="1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41,784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3"/>
        </w:trPr>
        <w:tc>
          <w:tcPr>
            <w:tcW w:w="4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-4394200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-4394200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-4394200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-4394200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-4394200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-4394200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-4394200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-4394200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-3682365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-3682365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-3682365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-3682365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-3682365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-3682365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-3682365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-3682365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-3390900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-3390900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-3390900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-3390900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-3390900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-3390900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-3390900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-3390900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-320675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-320675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-320675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-320675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-320675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-320675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-320675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-320675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ind w:right="1479"/>
        <w:spacing w:after="0"/>
        <w:rPr>
          <w:sz w:val="20"/>
          <w:szCs w:val="20"/>
          <w:color w:val="auto"/>
        </w:rPr>
      </w:pPr>
      <w:r>
        <w:rPr>
          <w:rFonts w:ascii="Arial" w:cs="Arial" w:eastAsia="Arial" w:hAnsi="Arial"/>
          <w:sz w:val="24"/>
          <w:szCs w:val="24"/>
          <w:b w:val="1"/>
          <w:bCs w:val="1"/>
          <w:color w:val="auto"/>
        </w:rPr>
        <w:t>SOUTHWEST GAS CORPORATION</w:t>
      </w:r>
    </w:p>
    <w:p>
      <w:pPr>
        <w:spacing w:after="0" w:line="36" w:lineRule="exact"/>
        <w:rPr>
          <w:sz w:val="20"/>
          <w:szCs w:val="20"/>
          <w:color w:val="auto"/>
        </w:rPr>
      </w:pPr>
    </w:p>
    <w:p>
      <w:pPr>
        <w:jc w:val="center"/>
        <w:ind w:right="1419"/>
        <w:spacing w:after="0"/>
        <w:rPr>
          <w:sz w:val="20"/>
          <w:szCs w:val="20"/>
          <w:color w:val="auto"/>
        </w:rPr>
      </w:pPr>
      <w:r>
        <w:rPr>
          <w:rFonts w:ascii="Arial" w:cs="Arial" w:eastAsia="Arial" w:hAnsi="Arial"/>
          <w:sz w:val="24"/>
          <w:szCs w:val="24"/>
          <w:b w:val="1"/>
          <w:bCs w:val="1"/>
          <w:color w:val="auto"/>
        </w:rPr>
        <w:t>SELECTED STATISTICAL DATA</w:t>
      </w:r>
    </w:p>
    <w:p>
      <w:pPr>
        <w:spacing w:after="0" w:line="8" w:lineRule="exact"/>
        <w:rPr>
          <w:sz w:val="20"/>
          <w:szCs w:val="20"/>
          <w:color w:val="auto"/>
        </w:rPr>
      </w:pPr>
    </w:p>
    <w:p>
      <w:pPr>
        <w:jc w:val="center"/>
        <w:ind w:right="1419"/>
        <w:spacing w:after="0"/>
        <w:rPr>
          <w:sz w:val="20"/>
          <w:szCs w:val="20"/>
          <w:color w:val="auto"/>
        </w:rPr>
      </w:pPr>
      <w:r>
        <w:rPr>
          <w:rFonts w:ascii="Arial" w:cs="Arial" w:eastAsia="Arial" w:hAnsi="Arial"/>
          <w:sz w:val="24"/>
          <w:szCs w:val="24"/>
          <w:b w:val="1"/>
          <w:bCs w:val="1"/>
          <w:color w:val="auto"/>
        </w:rPr>
        <w:t>MARCH 31, 2003</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STATISTICS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Market value to book value per share at quarter end</w:t>
            </w: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Twelve months to date return on equity -- total company</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500" w:type="dxa"/>
            <w:vAlign w:val="bottom"/>
          </w:tcPr>
          <w:p>
            <w:pPr>
              <w:ind w:left="2720"/>
              <w:spacing w:after="0"/>
              <w:rPr>
                <w:sz w:val="20"/>
                <w:szCs w:val="20"/>
                <w:color w:val="auto"/>
              </w:rPr>
            </w:pPr>
            <w:r>
              <w:rPr>
                <w:rFonts w:ascii="Arial" w:cs="Arial" w:eastAsia="Arial" w:hAnsi="Arial"/>
                <w:sz w:val="18"/>
                <w:szCs w:val="18"/>
                <w:color w:val="auto"/>
              </w:rPr>
              <w:t>-- gas segment</w:t>
            </w: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Common stock dividend yield at quarter end</w:t>
            </w: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ectPr>
          <w:pgSz w:w="11900" w:h="16838" w:orient="portrait"/>
          <w:cols w:equalWidth="0" w:num="1">
            <w:col w:w="10219"/>
          </w:cols>
          <w:pgMar w:left="240" w:top="131" w:right="1440" w:bottom="0" w:gutter="0" w:footer="0" w:header="0"/>
        </w:sectPr>
      </w:pP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GAS OPERATIONS SEGMENT</w:t>
      </w:r>
    </w:p>
    <w:p>
      <w:pPr>
        <w:sectPr>
          <w:pgSz w:w="11900" w:h="16838" w:orient="portrait"/>
          <w:cols w:equalWidth="0" w:num="1">
            <w:col w:w="10219"/>
          </w:cols>
          <w:pgMar w:left="240" w:top="131"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Authorized</w:t>
            </w:r>
          </w:p>
        </w:tc>
      </w:tr>
      <w:tr>
        <w:trPr>
          <w:trHeight w:val="216"/>
        </w:trPr>
        <w:tc>
          <w:tcPr>
            <w:tcW w:w="3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Authorized</w:t>
            </w:r>
          </w:p>
        </w:tc>
        <w:tc>
          <w:tcPr>
            <w:tcW w:w="1400" w:type="dxa"/>
            <w:vAlign w:val="bottom"/>
          </w:tcPr>
          <w:p>
            <w:pPr>
              <w:jc w:val="right"/>
              <w:ind w:right="212"/>
              <w:spacing w:after="0"/>
              <w:rPr>
                <w:sz w:val="20"/>
                <w:szCs w:val="20"/>
                <w:color w:val="auto"/>
              </w:rPr>
            </w:pPr>
            <w:r>
              <w:rPr>
                <w:rFonts w:ascii="Arial" w:cs="Arial" w:eastAsia="Arial" w:hAnsi="Arial"/>
                <w:sz w:val="18"/>
                <w:szCs w:val="18"/>
                <w:b w:val="1"/>
                <w:bCs w:val="1"/>
                <w:color w:val="auto"/>
              </w:rPr>
              <w:t>Authorized</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Return on</w:t>
            </w:r>
          </w:p>
        </w:tc>
      </w:tr>
      <w:tr>
        <w:trPr>
          <w:trHeight w:val="216"/>
        </w:trPr>
        <w:tc>
          <w:tcPr>
            <w:tcW w:w="3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Rate Base</w:t>
            </w:r>
          </w:p>
        </w:tc>
        <w:tc>
          <w:tcPr>
            <w:tcW w:w="1400" w:type="dxa"/>
            <w:vAlign w:val="bottom"/>
          </w:tcPr>
          <w:p>
            <w:pPr>
              <w:jc w:val="right"/>
              <w:ind w:right="372"/>
              <w:spacing w:after="0"/>
              <w:rPr>
                <w:sz w:val="20"/>
                <w:szCs w:val="20"/>
                <w:color w:val="auto"/>
              </w:rPr>
            </w:pPr>
            <w:r>
              <w:rPr>
                <w:rFonts w:ascii="Arial" w:cs="Arial" w:eastAsia="Arial" w:hAnsi="Arial"/>
                <w:sz w:val="18"/>
                <w:szCs w:val="18"/>
                <w:b w:val="1"/>
                <w:bCs w:val="1"/>
                <w:color w:val="auto"/>
              </w:rPr>
              <w:t>Rate of</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r>
      <w:tr>
        <w:trPr>
          <w:trHeight w:val="228"/>
        </w:trPr>
        <w:tc>
          <w:tcPr>
            <w:tcW w:w="3000" w:type="dxa"/>
            <w:vAlign w:val="bottom"/>
          </w:tcPr>
          <w:p>
            <w:pPr>
              <w:spacing w:after="0"/>
              <w:rPr>
                <w:sz w:val="20"/>
                <w:szCs w:val="20"/>
                <w:color w:val="auto"/>
              </w:rPr>
            </w:pPr>
            <w:r>
              <w:rPr>
                <w:rFonts w:ascii="Arial" w:cs="Arial" w:eastAsia="Arial" w:hAnsi="Arial"/>
                <w:sz w:val="18"/>
                <w:szCs w:val="18"/>
                <w:b w:val="1"/>
                <w:bCs w:val="1"/>
                <w:color w:val="auto"/>
              </w:rPr>
              <w:t>Rate Jurisdiction</w:t>
            </w:r>
          </w:p>
        </w:tc>
        <w:tc>
          <w:tcPr>
            <w:tcW w:w="1080" w:type="dxa"/>
            <w:vAlign w:val="bottom"/>
          </w:tcPr>
          <w:p>
            <w:pPr>
              <w:spacing w:after="0"/>
              <w:rPr>
                <w:sz w:val="19"/>
                <w:szCs w:val="19"/>
                <w:color w:val="auto"/>
              </w:rPr>
            </w:pPr>
          </w:p>
        </w:tc>
        <w:tc>
          <w:tcPr>
            <w:tcW w:w="136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(In thousands)</w:t>
            </w:r>
          </w:p>
        </w:tc>
        <w:tc>
          <w:tcPr>
            <w:tcW w:w="1400" w:type="dxa"/>
            <w:vAlign w:val="bottom"/>
          </w:tcPr>
          <w:p>
            <w:pPr>
              <w:jc w:val="right"/>
              <w:ind w:right="372"/>
              <w:spacing w:after="0"/>
              <w:rPr>
                <w:sz w:val="20"/>
                <w:szCs w:val="20"/>
                <w:color w:val="auto"/>
              </w:rPr>
            </w:pPr>
            <w:r>
              <w:rPr>
                <w:rFonts w:ascii="Arial" w:cs="Arial" w:eastAsia="Arial" w:hAnsi="Arial"/>
                <w:sz w:val="18"/>
                <w:szCs w:val="18"/>
                <w:b w:val="1"/>
                <w:bCs w:val="1"/>
                <w:color w:val="auto"/>
              </w:rPr>
              <w:t>Return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Equity</w:t>
            </w:r>
          </w:p>
        </w:tc>
      </w:tr>
      <w:tr>
        <w:trPr>
          <w:trHeight w:val="110"/>
        </w:trPr>
        <w:tc>
          <w:tcPr>
            <w:tcW w:w="30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r>
      <w:tr>
        <w:trPr>
          <w:trHeight w:val="309"/>
        </w:trPr>
        <w:tc>
          <w:tcPr>
            <w:tcW w:w="3000" w:type="dxa"/>
            <w:vAlign w:val="bottom"/>
          </w:tcPr>
          <w:p>
            <w:pPr>
              <w:spacing w:after="0"/>
              <w:rPr>
                <w:sz w:val="20"/>
                <w:szCs w:val="20"/>
                <w:color w:val="auto"/>
              </w:rPr>
            </w:pPr>
            <w:r>
              <w:rPr>
                <w:rFonts w:ascii="Arial" w:cs="Arial" w:eastAsia="Arial" w:hAnsi="Arial"/>
                <w:sz w:val="18"/>
                <w:szCs w:val="18"/>
                <w:color w:val="auto"/>
              </w:rPr>
              <w:t>Arizona (1)</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688,202</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9.20%</w:t>
            </w:r>
          </w:p>
        </w:tc>
        <w:tc>
          <w:tcPr>
            <w:tcW w:w="1280" w:type="dxa"/>
            <w:vAlign w:val="bottom"/>
          </w:tcPr>
          <w:p>
            <w:pPr>
              <w:ind w:left="740"/>
              <w:spacing w:after="0"/>
              <w:rPr>
                <w:sz w:val="20"/>
                <w:szCs w:val="20"/>
                <w:color w:val="auto"/>
              </w:rPr>
            </w:pPr>
            <w:r>
              <w:rPr>
                <w:rFonts w:ascii="Arial" w:cs="Arial" w:eastAsia="Arial" w:hAnsi="Arial"/>
                <w:sz w:val="18"/>
                <w:szCs w:val="18"/>
                <w:color w:val="auto"/>
                <w:w w:val="85"/>
              </w:rPr>
              <w:t>11.00%</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Southern Nevada (1)</w:t>
            </w:r>
          </w:p>
        </w:tc>
        <w:tc>
          <w:tcPr>
            <w:tcW w:w="1080" w:type="dxa"/>
            <w:vAlign w:val="bottom"/>
          </w:tcPr>
          <w:p>
            <w:pPr>
              <w:spacing w:after="0"/>
              <w:rPr>
                <w:sz w:val="18"/>
                <w:szCs w:val="18"/>
                <w:color w:val="auto"/>
              </w:rPr>
            </w:pP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457,314</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8.78</w:t>
            </w:r>
          </w:p>
        </w:tc>
        <w:tc>
          <w:tcPr>
            <w:tcW w:w="1280" w:type="dxa"/>
            <w:vAlign w:val="bottom"/>
          </w:tcPr>
          <w:p>
            <w:pPr>
              <w:ind w:left="720"/>
              <w:spacing w:after="0"/>
              <w:rPr>
                <w:sz w:val="20"/>
                <w:szCs w:val="20"/>
                <w:color w:val="auto"/>
              </w:rPr>
            </w:pPr>
            <w:r>
              <w:rPr>
                <w:rFonts w:ascii="Arial" w:cs="Arial" w:eastAsia="Arial" w:hAnsi="Arial"/>
                <w:sz w:val="18"/>
                <w:szCs w:val="18"/>
                <w:color w:val="auto"/>
              </w:rPr>
              <w:t>10.64</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Northern Nevada (1)</w:t>
            </w:r>
          </w:p>
        </w:tc>
        <w:tc>
          <w:tcPr>
            <w:tcW w:w="1080" w:type="dxa"/>
            <w:vAlign w:val="bottom"/>
          </w:tcPr>
          <w:p>
            <w:pPr>
              <w:spacing w:after="0"/>
              <w:rPr>
                <w:sz w:val="18"/>
                <w:szCs w:val="18"/>
                <w:color w:val="auto"/>
              </w:rPr>
            </w:pP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91,936</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9.02</w:t>
            </w:r>
          </w:p>
        </w:tc>
        <w:tc>
          <w:tcPr>
            <w:tcW w:w="1280" w:type="dxa"/>
            <w:vAlign w:val="bottom"/>
          </w:tcPr>
          <w:p>
            <w:pPr>
              <w:ind w:left="720"/>
              <w:spacing w:after="0"/>
              <w:rPr>
                <w:sz w:val="20"/>
                <w:szCs w:val="20"/>
                <w:color w:val="auto"/>
              </w:rPr>
            </w:pPr>
            <w:r>
              <w:rPr>
                <w:rFonts w:ascii="Arial" w:cs="Arial" w:eastAsia="Arial" w:hAnsi="Arial"/>
                <w:sz w:val="18"/>
                <w:szCs w:val="18"/>
                <w:color w:val="auto"/>
              </w:rPr>
              <w:t>10.21</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Southern California</w:t>
            </w:r>
          </w:p>
        </w:tc>
        <w:tc>
          <w:tcPr>
            <w:tcW w:w="1080" w:type="dxa"/>
            <w:vAlign w:val="bottom"/>
          </w:tcPr>
          <w:p>
            <w:pPr>
              <w:spacing w:after="0"/>
              <w:rPr>
                <w:sz w:val="18"/>
                <w:szCs w:val="18"/>
                <w:color w:val="auto"/>
              </w:rPr>
            </w:pP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69,486</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9.94</w:t>
            </w:r>
          </w:p>
        </w:tc>
        <w:tc>
          <w:tcPr>
            <w:tcW w:w="1280" w:type="dxa"/>
            <w:vAlign w:val="bottom"/>
          </w:tcPr>
          <w:p>
            <w:pPr>
              <w:ind w:left="740"/>
              <w:spacing w:after="0"/>
              <w:rPr>
                <w:sz w:val="20"/>
                <w:szCs w:val="20"/>
                <w:color w:val="auto"/>
              </w:rPr>
            </w:pPr>
            <w:r>
              <w:rPr>
                <w:rFonts w:ascii="Arial" w:cs="Arial" w:eastAsia="Arial" w:hAnsi="Arial"/>
                <w:sz w:val="18"/>
                <w:szCs w:val="18"/>
                <w:color w:val="auto"/>
              </w:rPr>
              <w:t>11.35</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Northern California</w:t>
            </w:r>
          </w:p>
        </w:tc>
        <w:tc>
          <w:tcPr>
            <w:tcW w:w="1080" w:type="dxa"/>
            <w:vAlign w:val="bottom"/>
          </w:tcPr>
          <w:p>
            <w:pPr>
              <w:spacing w:after="0"/>
              <w:rPr>
                <w:sz w:val="18"/>
                <w:szCs w:val="18"/>
                <w:color w:val="auto"/>
              </w:rPr>
            </w:pP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28,849</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10.02</w:t>
            </w:r>
          </w:p>
        </w:tc>
        <w:tc>
          <w:tcPr>
            <w:tcW w:w="1280" w:type="dxa"/>
            <w:vAlign w:val="bottom"/>
          </w:tcPr>
          <w:p>
            <w:pPr>
              <w:ind w:left="740"/>
              <w:spacing w:after="0"/>
              <w:rPr>
                <w:sz w:val="20"/>
                <w:szCs w:val="20"/>
                <w:color w:val="auto"/>
              </w:rPr>
            </w:pPr>
            <w:r>
              <w:rPr>
                <w:rFonts w:ascii="Arial" w:cs="Arial" w:eastAsia="Arial" w:hAnsi="Arial"/>
                <w:sz w:val="18"/>
                <w:szCs w:val="18"/>
                <w:color w:val="auto"/>
              </w:rPr>
              <w:t>11.35</w:t>
            </w:r>
          </w:p>
        </w:tc>
      </w:tr>
      <w:tr>
        <w:trPr>
          <w:trHeight w:val="222"/>
        </w:trPr>
        <w:tc>
          <w:tcPr>
            <w:tcW w:w="3000" w:type="dxa"/>
            <w:vAlign w:val="bottom"/>
          </w:tcPr>
          <w:p>
            <w:pPr>
              <w:spacing w:after="0"/>
              <w:rPr>
                <w:sz w:val="20"/>
                <w:szCs w:val="20"/>
                <w:color w:val="auto"/>
              </w:rPr>
            </w:pPr>
            <w:r>
              <w:rPr>
                <w:rFonts w:ascii="Arial" w:cs="Arial" w:eastAsia="Arial" w:hAnsi="Arial"/>
                <w:sz w:val="18"/>
                <w:szCs w:val="18"/>
                <w:color w:val="auto"/>
              </w:rPr>
              <w:t>Paiute Pipeline Company (1)</w:t>
            </w:r>
          </w:p>
        </w:tc>
        <w:tc>
          <w:tcPr>
            <w:tcW w:w="1080" w:type="dxa"/>
            <w:vAlign w:val="bottom"/>
          </w:tcPr>
          <w:p>
            <w:pPr>
              <w:spacing w:after="0"/>
              <w:rPr>
                <w:sz w:val="19"/>
                <w:szCs w:val="19"/>
                <w:color w:val="auto"/>
              </w:rPr>
            </w:pP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75,059</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9.69</w:t>
            </w:r>
          </w:p>
        </w:tc>
        <w:tc>
          <w:tcPr>
            <w:tcW w:w="1280" w:type="dxa"/>
            <w:vAlign w:val="bottom"/>
          </w:tcPr>
          <w:p>
            <w:pPr>
              <w:ind w:left="740"/>
              <w:spacing w:after="0"/>
              <w:rPr>
                <w:sz w:val="20"/>
                <w:szCs w:val="20"/>
                <w:color w:val="auto"/>
              </w:rPr>
            </w:pPr>
            <w:r>
              <w:rPr>
                <w:rFonts w:ascii="Arial" w:cs="Arial" w:eastAsia="Arial" w:hAnsi="Arial"/>
                <w:sz w:val="18"/>
                <w:szCs w:val="18"/>
                <w:color w:val="auto"/>
              </w:rPr>
              <w:t>11.60</w:t>
            </w:r>
          </w:p>
        </w:tc>
      </w:tr>
    </w:tbl>
    <w:p>
      <w:pPr>
        <w:spacing w:after="0" w:line="210" w:lineRule="exact"/>
        <w:rPr>
          <w:sz w:val="20"/>
          <w:szCs w:val="20"/>
          <w:color w:val="auto"/>
        </w:rPr>
      </w:pPr>
    </w:p>
    <w:p>
      <w:pPr>
        <w:ind w:left="740" w:hanging="556"/>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amounts based on rate case settlements.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SYSTEM THROUGHPUT BY CUSTOMER CLASS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TWELVE MONTHS ENDED</w:t>
            </w:r>
          </w:p>
        </w:tc>
        <w:tc>
          <w:tcPr>
            <w:tcW w:w="640" w:type="dxa"/>
            <w:vAlign w:val="bottom"/>
          </w:tcPr>
          <w:p>
            <w:pPr>
              <w:spacing w:after="0"/>
              <w:rPr>
                <w:sz w:val="18"/>
                <w:szCs w:val="18"/>
                <w:color w:val="auto"/>
              </w:rPr>
            </w:pPr>
          </w:p>
        </w:tc>
      </w:tr>
      <w:tr>
        <w:trPr>
          <w:trHeight w:val="228"/>
        </w:trPr>
        <w:tc>
          <w:tcPr>
            <w:tcW w:w="3440" w:type="dxa"/>
            <w:vAlign w:val="bottom"/>
          </w:tcPr>
          <w:p>
            <w:pPr>
              <w:spacing w:after="0"/>
              <w:rPr>
                <w:sz w:val="19"/>
                <w:szCs w:val="19"/>
                <w:color w:val="auto"/>
              </w:rPr>
            </w:pPr>
          </w:p>
        </w:tc>
        <w:tc>
          <w:tcPr>
            <w:tcW w:w="222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9"/>
                <w:szCs w:val="19"/>
                <w:color w:val="auto"/>
              </w:rPr>
            </w:pPr>
          </w:p>
        </w:tc>
        <w:tc>
          <w:tcPr>
            <w:tcW w:w="22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6"/>
              </w:rPr>
              <w:t>MARCH 31,</w:t>
            </w:r>
          </w:p>
        </w:tc>
        <w:tc>
          <w:tcPr>
            <w:tcW w:w="640" w:type="dxa"/>
            <w:vAlign w:val="bottom"/>
          </w:tcPr>
          <w:p>
            <w:pPr>
              <w:spacing w:after="0"/>
              <w:rPr>
                <w:sz w:val="19"/>
                <w:szCs w:val="19"/>
                <w:color w:val="auto"/>
              </w:rPr>
            </w:pPr>
          </w:p>
        </w:tc>
      </w:tr>
      <w:tr>
        <w:trPr>
          <w:trHeight w:val="110"/>
        </w:trPr>
        <w:tc>
          <w:tcPr>
            <w:tcW w:w="344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316"/>
        </w:trPr>
        <w:tc>
          <w:tcPr>
            <w:tcW w:w="3440" w:type="dxa"/>
            <w:vAlign w:val="bottom"/>
          </w:tcPr>
          <w:p>
            <w:pPr>
              <w:spacing w:after="0"/>
              <w:rPr>
                <w:sz w:val="20"/>
                <w:szCs w:val="20"/>
                <w:color w:val="auto"/>
              </w:rPr>
            </w:pPr>
            <w:r>
              <w:rPr>
                <w:rFonts w:ascii="Arial" w:cs="Arial" w:eastAsia="Arial" w:hAnsi="Arial"/>
                <w:sz w:val="18"/>
                <w:szCs w:val="18"/>
                <w:b w:val="1"/>
                <w:bCs w:val="1"/>
                <w:color w:val="auto"/>
              </w:rPr>
              <w:t>(In dekatherms)</w:t>
            </w:r>
          </w:p>
        </w:tc>
        <w:tc>
          <w:tcPr>
            <w:tcW w:w="1080" w:type="dxa"/>
            <w:vAlign w:val="bottom"/>
          </w:tcPr>
          <w:p>
            <w:pPr>
              <w:jc w:val="right"/>
              <w:ind w:right="312"/>
              <w:spacing w:after="0"/>
              <w:rPr>
                <w:sz w:val="20"/>
                <w:szCs w:val="20"/>
                <w:color w:val="auto"/>
              </w:rPr>
            </w:pPr>
            <w:r>
              <w:rPr>
                <w:rFonts w:ascii="Arial" w:cs="Arial" w:eastAsia="Arial" w:hAnsi="Arial"/>
                <w:sz w:val="18"/>
                <w:szCs w:val="18"/>
                <w:b w:val="1"/>
                <w:bCs w:val="1"/>
                <w:color w:val="auto"/>
              </w:rPr>
              <w:t>2003</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2002</w:t>
            </w:r>
          </w:p>
        </w:tc>
        <w:tc>
          <w:tcPr>
            <w:tcW w:w="12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2003</w:t>
            </w:r>
          </w:p>
        </w:tc>
        <w:tc>
          <w:tcPr>
            <w:tcW w:w="1100" w:type="dxa"/>
            <w:vAlign w:val="bottom"/>
          </w:tcPr>
          <w:p>
            <w:pPr>
              <w:jc w:val="right"/>
              <w:ind w:right="192"/>
              <w:spacing w:after="0"/>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0"/>
        </w:trPr>
        <w:tc>
          <w:tcPr>
            <w:tcW w:w="34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2"/>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r>
      <w:tr>
        <w:trPr>
          <w:trHeight w:val="309"/>
        </w:trPr>
        <w:tc>
          <w:tcPr>
            <w:tcW w:w="3440" w:type="dxa"/>
            <w:vAlign w:val="bottom"/>
          </w:tcPr>
          <w:p>
            <w:pPr>
              <w:spacing w:after="0"/>
              <w:rPr>
                <w:sz w:val="20"/>
                <w:szCs w:val="20"/>
                <w:color w:val="auto"/>
              </w:rPr>
            </w:pPr>
            <w:r>
              <w:rPr>
                <w:rFonts w:ascii="Arial" w:cs="Arial" w:eastAsia="Arial" w:hAnsi="Arial"/>
                <w:sz w:val="18"/>
                <w:szCs w:val="18"/>
                <w:color w:val="auto"/>
              </w:rPr>
              <w:t>Residential</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w w:val="93"/>
              </w:rPr>
              <w:t>27,099,374</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30,165,439</w:t>
            </w:r>
          </w:p>
        </w:tc>
        <w:tc>
          <w:tcPr>
            <w:tcW w:w="1240" w:type="dxa"/>
            <w:vAlign w:val="bottom"/>
            <w:gridSpan w:val="2"/>
          </w:tcPr>
          <w:p>
            <w:pPr>
              <w:jc w:val="right"/>
              <w:ind w:right="72"/>
              <w:spacing w:after="0"/>
              <w:rPr>
                <w:sz w:val="20"/>
                <w:szCs w:val="20"/>
                <w:color w:val="auto"/>
              </w:rPr>
            </w:pPr>
            <w:r>
              <w:rPr>
                <w:rFonts w:ascii="Arial" w:cs="Arial" w:eastAsia="Arial" w:hAnsi="Arial"/>
                <w:sz w:val="18"/>
                <w:szCs w:val="18"/>
                <w:color w:val="auto"/>
              </w:rPr>
              <w:t>55,755,384</w:t>
            </w:r>
          </w:p>
        </w:tc>
        <w:tc>
          <w:tcPr>
            <w:tcW w:w="1100" w:type="dxa"/>
            <w:vAlign w:val="bottom"/>
          </w:tcPr>
          <w:p>
            <w:pPr>
              <w:jc w:val="right"/>
              <w:spacing w:after="0"/>
              <w:rPr>
                <w:sz w:val="20"/>
                <w:szCs w:val="20"/>
                <w:color w:val="auto"/>
              </w:rPr>
            </w:pPr>
            <w:r>
              <w:rPr>
                <w:rFonts w:ascii="Arial" w:cs="Arial" w:eastAsia="Arial" w:hAnsi="Arial"/>
                <w:sz w:val="18"/>
                <w:szCs w:val="18"/>
                <w:color w:val="auto"/>
              </w:rPr>
              <w:t>58,600,067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Small commercial</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w w:val="93"/>
              </w:rPr>
              <w:t>10,195,593</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11,115,423</w:t>
            </w:r>
          </w:p>
        </w:tc>
        <w:tc>
          <w:tcPr>
            <w:tcW w:w="1240" w:type="dxa"/>
            <w:vAlign w:val="bottom"/>
            <w:gridSpan w:val="2"/>
          </w:tcPr>
          <w:p>
            <w:pPr>
              <w:jc w:val="right"/>
              <w:ind w:right="72"/>
              <w:spacing w:after="0"/>
              <w:rPr>
                <w:sz w:val="20"/>
                <w:szCs w:val="20"/>
                <w:color w:val="auto"/>
              </w:rPr>
            </w:pPr>
            <w:r>
              <w:rPr>
                <w:rFonts w:ascii="Arial" w:cs="Arial" w:eastAsia="Arial" w:hAnsi="Arial"/>
                <w:sz w:val="18"/>
                <w:szCs w:val="18"/>
                <w:color w:val="auto"/>
              </w:rPr>
              <w:t>27,107,252</w:t>
            </w:r>
          </w:p>
        </w:tc>
        <w:tc>
          <w:tcPr>
            <w:tcW w:w="1100" w:type="dxa"/>
            <w:vAlign w:val="bottom"/>
          </w:tcPr>
          <w:p>
            <w:pPr>
              <w:jc w:val="right"/>
              <w:spacing w:after="0"/>
              <w:rPr>
                <w:sz w:val="20"/>
                <w:szCs w:val="20"/>
                <w:color w:val="auto"/>
              </w:rPr>
            </w:pPr>
            <w:r>
              <w:rPr>
                <w:rFonts w:ascii="Arial" w:cs="Arial" w:eastAsia="Arial" w:hAnsi="Arial"/>
                <w:sz w:val="18"/>
                <w:szCs w:val="18"/>
                <w:color w:val="auto"/>
              </w:rPr>
              <w:t>27,853,892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Large commercial</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2,723,256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4,044,807</w:t>
            </w:r>
          </w:p>
        </w:tc>
        <w:tc>
          <w:tcPr>
            <w:tcW w:w="1240" w:type="dxa"/>
            <w:vAlign w:val="bottom"/>
            <w:gridSpan w:val="2"/>
          </w:tcPr>
          <w:p>
            <w:pPr>
              <w:jc w:val="right"/>
              <w:ind w:right="72"/>
              <w:spacing w:after="0"/>
              <w:rPr>
                <w:sz w:val="20"/>
                <w:szCs w:val="20"/>
                <w:color w:val="auto"/>
              </w:rPr>
            </w:pPr>
            <w:r>
              <w:rPr>
                <w:rFonts w:ascii="Arial" w:cs="Arial" w:eastAsia="Arial" w:hAnsi="Arial"/>
                <w:sz w:val="18"/>
                <w:szCs w:val="18"/>
                <w:color w:val="auto"/>
              </w:rPr>
              <w:t>10,828,438</w:t>
            </w:r>
          </w:p>
        </w:tc>
        <w:tc>
          <w:tcPr>
            <w:tcW w:w="1100" w:type="dxa"/>
            <w:vAlign w:val="bottom"/>
          </w:tcPr>
          <w:p>
            <w:pPr>
              <w:jc w:val="right"/>
              <w:spacing w:after="0"/>
              <w:rPr>
                <w:sz w:val="20"/>
                <w:szCs w:val="20"/>
                <w:color w:val="auto"/>
              </w:rPr>
            </w:pPr>
            <w:r>
              <w:rPr>
                <w:rFonts w:ascii="Arial" w:cs="Arial" w:eastAsia="Arial" w:hAnsi="Arial"/>
                <w:sz w:val="18"/>
                <w:szCs w:val="18"/>
                <w:color w:val="auto"/>
              </w:rPr>
              <w:t>12,602,841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Industrial / Other</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4,302,800</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5,877,443</w:t>
            </w:r>
          </w:p>
        </w:tc>
        <w:tc>
          <w:tcPr>
            <w:tcW w:w="1240" w:type="dxa"/>
            <w:vAlign w:val="bottom"/>
            <w:gridSpan w:val="2"/>
          </w:tcPr>
          <w:p>
            <w:pPr>
              <w:jc w:val="right"/>
              <w:ind w:right="72"/>
              <w:spacing w:after="0"/>
              <w:rPr>
                <w:sz w:val="20"/>
                <w:szCs w:val="20"/>
                <w:color w:val="auto"/>
              </w:rPr>
            </w:pPr>
            <w:r>
              <w:rPr>
                <w:rFonts w:ascii="Arial" w:cs="Arial" w:eastAsia="Arial" w:hAnsi="Arial"/>
                <w:sz w:val="18"/>
                <w:szCs w:val="18"/>
                <w:color w:val="auto"/>
              </w:rPr>
              <w:t>20,830,898</w:t>
            </w:r>
          </w:p>
        </w:tc>
        <w:tc>
          <w:tcPr>
            <w:tcW w:w="1100" w:type="dxa"/>
            <w:vAlign w:val="bottom"/>
          </w:tcPr>
          <w:p>
            <w:pPr>
              <w:jc w:val="right"/>
              <w:spacing w:after="0"/>
              <w:rPr>
                <w:sz w:val="20"/>
                <w:szCs w:val="20"/>
                <w:color w:val="auto"/>
              </w:rPr>
            </w:pPr>
            <w:r>
              <w:rPr>
                <w:rFonts w:ascii="Arial" w:cs="Arial" w:eastAsia="Arial" w:hAnsi="Arial"/>
                <w:sz w:val="18"/>
                <w:szCs w:val="18"/>
                <w:color w:val="auto"/>
              </w:rPr>
              <w:t>27,645,410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Transportation</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w w:val="93"/>
              </w:rPr>
              <w:t>31,118,602</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29,693,417</w:t>
            </w:r>
          </w:p>
        </w:tc>
        <w:tc>
          <w:tcPr>
            <w:tcW w:w="1240" w:type="dxa"/>
            <w:vAlign w:val="bottom"/>
            <w:gridSpan w:val="2"/>
          </w:tcPr>
          <w:p>
            <w:pPr>
              <w:jc w:val="right"/>
              <w:ind w:right="72"/>
              <w:spacing w:after="0"/>
              <w:rPr>
                <w:sz w:val="20"/>
                <w:szCs w:val="20"/>
                <w:color w:val="auto"/>
              </w:rPr>
            </w:pPr>
            <w:r>
              <w:rPr>
                <w:rFonts w:ascii="Arial" w:cs="Arial" w:eastAsia="Arial" w:hAnsi="Arial"/>
                <w:sz w:val="18"/>
                <w:szCs w:val="18"/>
                <w:color w:val="auto"/>
              </w:rPr>
              <w:t>133,940,099</w:t>
            </w:r>
          </w:p>
        </w:tc>
        <w:tc>
          <w:tcPr>
            <w:tcW w:w="1100" w:type="dxa"/>
            <w:vAlign w:val="bottom"/>
          </w:tcPr>
          <w:p>
            <w:pPr>
              <w:jc w:val="right"/>
              <w:spacing w:after="0"/>
              <w:rPr>
                <w:sz w:val="20"/>
                <w:szCs w:val="20"/>
                <w:color w:val="auto"/>
              </w:rPr>
            </w:pPr>
            <w:r>
              <w:rPr>
                <w:rFonts w:ascii="Arial" w:cs="Arial" w:eastAsia="Arial" w:hAnsi="Arial"/>
                <w:sz w:val="18"/>
                <w:szCs w:val="18"/>
                <w:color w:val="auto"/>
              </w:rPr>
              <w:t>120,809,281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10"/>
        </w:trPr>
        <w:tc>
          <w:tcPr>
            <w:tcW w:w="34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2"/>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316"/>
        </w:trPr>
        <w:tc>
          <w:tcPr>
            <w:tcW w:w="3440" w:type="dxa"/>
            <w:vAlign w:val="bottom"/>
          </w:tcPr>
          <w:p>
            <w:pPr>
              <w:spacing w:after="0"/>
              <w:rPr>
                <w:sz w:val="20"/>
                <w:szCs w:val="20"/>
                <w:color w:val="auto"/>
              </w:rPr>
            </w:pPr>
            <w:r>
              <w:rPr>
                <w:rFonts w:ascii="Arial" w:cs="Arial" w:eastAsia="Arial" w:hAnsi="Arial"/>
                <w:sz w:val="18"/>
                <w:szCs w:val="18"/>
                <w:color w:val="auto"/>
              </w:rPr>
              <w:t>Total system throughput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w w:val="93"/>
              </w:rPr>
              <w:t>75,439,625</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80,896,529</w:t>
            </w:r>
          </w:p>
        </w:tc>
        <w:tc>
          <w:tcPr>
            <w:tcW w:w="1240" w:type="dxa"/>
            <w:vAlign w:val="bottom"/>
            <w:gridSpan w:val="2"/>
          </w:tcPr>
          <w:p>
            <w:pPr>
              <w:jc w:val="right"/>
              <w:ind w:right="72"/>
              <w:spacing w:after="0"/>
              <w:rPr>
                <w:sz w:val="20"/>
                <w:szCs w:val="20"/>
                <w:color w:val="auto"/>
              </w:rPr>
            </w:pPr>
            <w:r>
              <w:rPr>
                <w:rFonts w:ascii="Arial" w:cs="Arial" w:eastAsia="Arial" w:hAnsi="Arial"/>
                <w:sz w:val="18"/>
                <w:szCs w:val="18"/>
                <w:color w:val="auto"/>
              </w:rPr>
              <w:t>248,462,071</w:t>
            </w:r>
          </w:p>
        </w:tc>
        <w:tc>
          <w:tcPr>
            <w:tcW w:w="1100" w:type="dxa"/>
            <w:vAlign w:val="bottom"/>
          </w:tcPr>
          <w:p>
            <w:pPr>
              <w:jc w:val="right"/>
              <w:spacing w:after="0"/>
              <w:rPr>
                <w:sz w:val="20"/>
                <w:szCs w:val="20"/>
                <w:color w:val="auto"/>
              </w:rPr>
            </w:pPr>
            <w:r>
              <w:rPr>
                <w:rFonts w:ascii="Arial" w:cs="Arial" w:eastAsia="Arial" w:hAnsi="Arial"/>
                <w:sz w:val="18"/>
                <w:szCs w:val="18"/>
                <w:color w:val="auto"/>
              </w:rPr>
              <w:t>247,511,491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20"/>
        </w:trPr>
        <w:tc>
          <w:tcPr>
            <w:tcW w:w="34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307"/>
        </w:trPr>
        <w:tc>
          <w:tcPr>
            <w:tcW w:w="3440" w:type="dxa"/>
            <w:vAlign w:val="bottom"/>
          </w:tcPr>
          <w:p>
            <w:pPr>
              <w:spacing w:after="0"/>
              <w:rPr>
                <w:sz w:val="20"/>
                <w:szCs w:val="20"/>
                <w:color w:val="auto"/>
              </w:rPr>
            </w:pPr>
            <w:r>
              <w:rPr>
                <w:rFonts w:ascii="Arial" w:cs="Arial" w:eastAsia="Arial" w:hAnsi="Arial"/>
                <w:sz w:val="18"/>
                <w:szCs w:val="18"/>
                <w:b w:val="1"/>
                <w:bCs w:val="1"/>
                <w:color w:val="auto"/>
              </w:rPr>
              <w:t>HEATING DEGREE DAY</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8"/>
        </w:trPr>
        <w:tc>
          <w:tcPr>
            <w:tcW w:w="3440" w:type="dxa"/>
            <w:vAlign w:val="bottom"/>
          </w:tcPr>
          <w:p>
            <w:pPr>
              <w:spacing w:after="0"/>
              <w:rPr>
                <w:sz w:val="20"/>
                <w:szCs w:val="20"/>
                <w:color w:val="auto"/>
              </w:rPr>
            </w:pPr>
            <w:r>
              <w:rPr>
                <w:rFonts w:ascii="Arial" w:cs="Arial" w:eastAsia="Arial" w:hAnsi="Arial"/>
                <w:sz w:val="18"/>
                <w:szCs w:val="18"/>
                <w:b w:val="1"/>
                <w:bCs w:val="1"/>
                <w:color w:val="auto"/>
              </w:rPr>
              <w:t>COMPARISON</w:t>
            </w: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10"/>
        </w:trPr>
        <w:tc>
          <w:tcPr>
            <w:tcW w:w="34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2"/>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309"/>
        </w:trPr>
        <w:tc>
          <w:tcPr>
            <w:tcW w:w="3440" w:type="dxa"/>
            <w:vAlign w:val="bottom"/>
          </w:tcPr>
          <w:p>
            <w:pPr>
              <w:spacing w:after="0"/>
              <w:rPr>
                <w:sz w:val="20"/>
                <w:szCs w:val="20"/>
                <w:color w:val="auto"/>
              </w:rPr>
            </w:pPr>
            <w:r>
              <w:rPr>
                <w:rFonts w:ascii="Arial" w:cs="Arial" w:eastAsia="Arial" w:hAnsi="Arial"/>
                <w:sz w:val="18"/>
                <w:szCs w:val="18"/>
                <w:color w:val="auto"/>
              </w:rPr>
              <w:t>Actual</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932</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1,155</w:t>
            </w:r>
          </w:p>
        </w:tc>
        <w:tc>
          <w:tcPr>
            <w:tcW w:w="1240" w:type="dxa"/>
            <w:vAlign w:val="bottom"/>
            <w:gridSpan w:val="2"/>
          </w:tcPr>
          <w:p>
            <w:pPr>
              <w:jc w:val="right"/>
              <w:ind w:right="72"/>
              <w:spacing w:after="0"/>
              <w:rPr>
                <w:sz w:val="20"/>
                <w:szCs w:val="20"/>
                <w:color w:val="auto"/>
              </w:rPr>
            </w:pPr>
            <w:r>
              <w:rPr>
                <w:rFonts w:ascii="Arial" w:cs="Arial" w:eastAsia="Arial" w:hAnsi="Arial"/>
                <w:sz w:val="18"/>
                <w:szCs w:val="18"/>
                <w:color w:val="auto"/>
              </w:rPr>
              <w:t>1,688</w:t>
            </w:r>
          </w:p>
        </w:tc>
        <w:tc>
          <w:tcPr>
            <w:tcW w:w="1100" w:type="dxa"/>
            <w:vAlign w:val="bottom"/>
          </w:tcPr>
          <w:p>
            <w:pPr>
              <w:jc w:val="right"/>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Ten-year average</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1,079</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1,106</w:t>
            </w:r>
          </w:p>
        </w:tc>
        <w:tc>
          <w:tcPr>
            <w:tcW w:w="1240" w:type="dxa"/>
            <w:vAlign w:val="bottom"/>
            <w:gridSpan w:val="2"/>
          </w:tcPr>
          <w:p>
            <w:pPr>
              <w:jc w:val="right"/>
              <w:ind w:right="72"/>
              <w:spacing w:after="0"/>
              <w:rPr>
                <w:sz w:val="20"/>
                <w:szCs w:val="20"/>
                <w:color w:val="auto"/>
              </w:rPr>
            </w:pPr>
            <w:r>
              <w:rPr>
                <w:rFonts w:ascii="Arial" w:cs="Arial" w:eastAsia="Arial" w:hAnsi="Arial"/>
                <w:sz w:val="18"/>
                <w:szCs w:val="18"/>
                <w:color w:val="auto"/>
              </w:rPr>
              <w:t>1,935</w:t>
            </w:r>
          </w:p>
        </w:tc>
        <w:tc>
          <w:tcPr>
            <w:tcW w:w="1100" w:type="dxa"/>
            <w:vAlign w:val="bottom"/>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20"/>
        </w:trPr>
        <w:tc>
          <w:tcPr>
            <w:tcW w:w="34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463"/>
        </w:trPr>
        <w:tc>
          <w:tcPr>
            <w:tcW w:w="3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-1169670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-1169670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-320675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-320675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57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380" w:type="dxa"/>
            <w:vAlign w:val="bottom"/>
          </w:tcPr>
          <w:p>
            <w:pPr>
              <w:spacing w:after="0"/>
              <w:rPr>
                <w:sz w:val="23"/>
                <w:szCs w:val="23"/>
                <w:color w:val="auto"/>
              </w:rPr>
            </w:pPr>
          </w:p>
        </w:tc>
        <w:tc>
          <w:tcPr>
            <w:tcW w:w="4080" w:type="dxa"/>
            <w:vAlign w:val="bottom"/>
          </w:tcPr>
          <w:p>
            <w:pPr>
              <w:jc w:val="center"/>
              <w:spacing w:after="0"/>
              <w:rPr>
                <w:sz w:val="20"/>
                <w:szCs w:val="20"/>
                <w:color w:val="auto"/>
              </w:rPr>
            </w:pPr>
            <w:r>
              <w:rPr>
                <w:rFonts w:ascii="Arial" w:cs="Arial" w:eastAsia="Arial" w:hAnsi="Arial"/>
                <w:sz w:val="22"/>
                <w:szCs w:val="22"/>
                <w:color w:val="auto"/>
                <w:w w:val="92"/>
              </w:rPr>
              <w:t>SOUTHWEST GAS CORPORATION</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3"/>
        </w:trPr>
        <w:tc>
          <w:tcPr>
            <w:tcW w:w="3380" w:type="dxa"/>
            <w:vAlign w:val="bottom"/>
            <w:vMerge w:val="restart"/>
          </w:tcPr>
          <w:p>
            <w:pPr>
              <w:spacing w:after="0"/>
              <w:rPr>
                <w:sz w:val="20"/>
                <w:szCs w:val="20"/>
                <w:color w:val="auto"/>
              </w:rPr>
            </w:pPr>
            <w:r>
              <w:rPr>
                <w:rFonts w:ascii="Arial" w:cs="Arial" w:eastAsia="Arial" w:hAnsi="Arial"/>
                <w:sz w:val="18"/>
                <w:szCs w:val="18"/>
                <w:color w:val="auto"/>
              </w:rPr>
              <w:t>Date: April 29, 2003</w:t>
            </w:r>
          </w:p>
        </w:tc>
        <w:tc>
          <w:tcPr>
            <w:tcW w:w="4080" w:type="dxa"/>
            <w:vAlign w:val="bottom"/>
          </w:tcPr>
          <w:p>
            <w:pPr>
              <w:jc w:val="center"/>
              <w:spacing w:after="0"/>
              <w:rPr>
                <w:sz w:val="20"/>
                <w:szCs w:val="20"/>
                <w:color w:val="auto"/>
              </w:rPr>
            </w:pPr>
            <w:r>
              <w:rPr>
                <w:rFonts w:ascii="Arial" w:cs="Arial" w:eastAsia="Arial" w:hAnsi="Arial"/>
                <w:sz w:val="18"/>
                <w:szCs w:val="18"/>
                <w:color w:val="auto"/>
                <w:w w:val="93"/>
              </w:rPr>
              <w:t>/s/ ROY R. CENTRELLA</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380" w:type="dxa"/>
            <w:vAlign w:val="bottom"/>
            <w:vMerge w:val="continue"/>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338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89"/>
              </w:rPr>
              <w:t>Roy R. Centrella</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80" w:type="dxa"/>
            <w:vAlign w:val="bottom"/>
          </w:tcPr>
          <w:p>
            <w:pPr>
              <w:spacing w:after="0"/>
              <w:rPr>
                <w:sz w:val="19"/>
                <w:szCs w:val="19"/>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88"/>
              </w:rPr>
              <w:t>Vice President/Controller and</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3"/>
              </w:rPr>
              <w:t>Chief Accounting Officer</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38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3380" w:type="dxa"/>
            <w:vAlign w:val="bottom"/>
          </w:tcPr>
          <w:p>
            <w:pPr>
              <w:spacing w:after="0"/>
              <w:rPr>
                <w:sz w:val="24"/>
                <w:szCs w:val="24"/>
                <w:color w:val="auto"/>
              </w:rPr>
            </w:pPr>
          </w:p>
        </w:tc>
        <w:tc>
          <w:tcPr>
            <w:tcW w:w="4080" w:type="dxa"/>
            <w:vAlign w:val="bottom"/>
          </w:tcPr>
          <w:p>
            <w:pPr>
              <w:ind w:left="180"/>
              <w:spacing w:after="0"/>
              <w:rPr>
                <w:sz w:val="20"/>
                <w:szCs w:val="20"/>
                <w:color w:val="auto"/>
              </w:rPr>
            </w:pPr>
            <w:r>
              <w:rPr>
                <w:rFonts w:ascii="Arial" w:cs="Arial" w:eastAsia="Arial" w:hAnsi="Arial"/>
                <w:sz w:val="22"/>
                <w:szCs w:val="22"/>
                <w:b w:val="1"/>
                <w:bCs w:val="1"/>
                <w:color w:val="auto"/>
              </w:rPr>
              <w:t>EXHIBIT INDEX</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-1150620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-1150620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-412750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ind w:left="180"/>
        <w:spacing w:after="0"/>
        <w:tabs>
          <w:tab w:leader="none" w:pos="13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867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6715" cy="8890"/>
                    </a:xfrm>
                    <a:prstGeom prst="rect">
                      <a:avLst/>
                    </a:prstGeom>
                    <a:noFill/>
                  </pic:spPr>
                </pic:pic>
              </a:graphicData>
            </a:graphic>
          </wp:anchor>
        </w:drawing>
      </w:r>
    </w:p>
    <w:p>
      <w:pPr>
        <w:spacing w:after="0" w:line="226" w:lineRule="exact"/>
        <w:rPr>
          <w:sz w:val="20"/>
          <w:szCs w:val="20"/>
          <w:color w:val="auto"/>
        </w:rPr>
      </w:pPr>
    </w:p>
    <w:p>
      <w:pPr>
        <w:ind w:left="1340" w:hanging="1332"/>
        <w:spacing w:after="0"/>
        <w:tabs>
          <w:tab w:leader="none" w:pos="1340" w:val="left"/>
        </w:tabs>
        <w:numPr>
          <w:ilvl w:val="0"/>
          <w:numId w:val="2"/>
        </w:numPr>
        <w:rPr>
          <w:rFonts w:ascii="Arial" w:cs="Arial" w:eastAsia="Arial" w:hAnsi="Arial"/>
          <w:sz w:val="18"/>
          <w:szCs w:val="18"/>
          <w:u w:val="single" w:color="auto"/>
          <w:color w:val="0000EE"/>
        </w:rPr>
      </w:pPr>
      <w:r>
        <w:rPr>
          <w:rFonts w:ascii="Arial" w:cs="Arial" w:eastAsia="Arial" w:hAnsi="Arial"/>
          <w:sz w:val="18"/>
          <w:szCs w:val="18"/>
          <w:color w:val="auto"/>
        </w:rPr>
        <w:t>Press release dated April 29, 2003.</w:t>
      </w:r>
    </w:p>
    <w:p>
      <w:pPr>
        <w:sectPr>
          <w:pgSz w:w="11900" w:h="16838" w:orient="portrait"/>
          <w:cols w:equalWidth="0" w:num="1">
            <w:col w:w="10219"/>
          </w:cols>
          <w:pgMar w:left="240" w:top="233" w:right="1440" w:bottom="80" w:gutter="0" w:footer="0" w:header="0"/>
        </w:sectPr>
      </w:pPr>
    </w:p>
    <w:bookmarkStart w:id="3" w:name="page4"/>
    <w:bookmarkEnd w:id="3"/>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59943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9943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April 29, 2003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Media Contact: Roger Buehrer, Las Vegas, NV (702) 876-7132,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 Contact: Ken Kenny, Las Vegas, NV (702) 876-7237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SWX-NYSE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80" w:lineRule="exact"/>
        <w:rPr>
          <w:sz w:val="20"/>
          <w:szCs w:val="20"/>
          <w:color w:val="auto"/>
        </w:rPr>
      </w:pPr>
    </w:p>
    <w:p>
      <w:pPr>
        <w:jc w:val="center"/>
        <w:ind w:right="1439"/>
        <w:spacing w:after="0"/>
        <w:rPr>
          <w:sz w:val="20"/>
          <w:szCs w:val="20"/>
          <w:color w:val="auto"/>
        </w:rPr>
      </w:pPr>
      <w:r>
        <w:rPr>
          <w:rFonts w:ascii="Arial" w:cs="Arial" w:eastAsia="Arial" w:hAnsi="Arial"/>
          <w:sz w:val="18"/>
          <w:szCs w:val="18"/>
          <w:b w:val="1"/>
          <w:bCs w:val="1"/>
          <w:color w:val="auto"/>
        </w:rPr>
        <w:t>SOUTHWEST GAS CORPORATION</w:t>
      </w:r>
    </w:p>
    <w:p>
      <w:pPr>
        <w:spacing w:after="0" w:line="21" w:lineRule="exact"/>
        <w:rPr>
          <w:sz w:val="20"/>
          <w:szCs w:val="20"/>
          <w:color w:val="auto"/>
        </w:rPr>
      </w:pPr>
    </w:p>
    <w:p>
      <w:pPr>
        <w:jc w:val="center"/>
        <w:ind w:right="1439"/>
        <w:spacing w:after="0"/>
        <w:rPr>
          <w:sz w:val="20"/>
          <w:szCs w:val="20"/>
          <w:color w:val="auto"/>
        </w:rPr>
      </w:pPr>
      <w:r>
        <w:rPr>
          <w:rFonts w:ascii="Arial" w:cs="Arial" w:eastAsia="Arial" w:hAnsi="Arial"/>
          <w:sz w:val="18"/>
          <w:szCs w:val="18"/>
          <w:b w:val="1"/>
          <w:bCs w:val="1"/>
          <w:color w:val="auto"/>
        </w:rPr>
        <w:t>ANNOUNCES FIRST QUARTER EARNINGS</w:t>
      </w:r>
    </w:p>
    <w:p>
      <w:pPr>
        <w:spacing w:after="0" w:line="300" w:lineRule="exact"/>
        <w:rPr>
          <w:sz w:val="20"/>
          <w:szCs w:val="20"/>
          <w:color w:val="auto"/>
        </w:rPr>
      </w:pPr>
    </w:p>
    <w:p>
      <w:pPr>
        <w:ind w:right="1619"/>
        <w:spacing w:after="0" w:line="259" w:lineRule="auto"/>
        <w:rPr>
          <w:sz w:val="20"/>
          <w:szCs w:val="20"/>
          <w:color w:val="auto"/>
        </w:rPr>
      </w:pPr>
      <w:r>
        <w:rPr>
          <w:rFonts w:ascii="Arial" w:cs="Arial" w:eastAsia="Arial" w:hAnsi="Arial"/>
          <w:sz w:val="18"/>
          <w:szCs w:val="18"/>
          <w:color w:val="auto"/>
        </w:rPr>
        <w:t>Las Vegas — Southwest Gas Corporation announced consolidated earnings of $0.76 per share for the first three months of 2003, a $0.56 decrease from the $1.32 per share earned during the first quarter of 2002. Consolidated net income was $25.5 million, compared to $42.9 million in the prior period.</w:t>
      </w:r>
    </w:p>
    <w:p>
      <w:pPr>
        <w:spacing w:after="0" w:line="194" w:lineRule="exact"/>
        <w:rPr>
          <w:sz w:val="20"/>
          <w:szCs w:val="20"/>
          <w:color w:val="auto"/>
        </w:rPr>
      </w:pPr>
    </w:p>
    <w:p>
      <w:pPr>
        <w:ind w:right="1539"/>
        <w:spacing w:after="0" w:line="291" w:lineRule="auto"/>
        <w:rPr>
          <w:sz w:val="20"/>
          <w:szCs w:val="20"/>
          <w:color w:val="auto"/>
        </w:rPr>
      </w:pPr>
      <w:r>
        <w:rPr>
          <w:rFonts w:ascii="Arial" w:cs="Arial" w:eastAsia="Arial" w:hAnsi="Arial"/>
          <w:sz w:val="16"/>
          <w:szCs w:val="16"/>
          <w:color w:val="auto"/>
        </w:rPr>
        <w:t>According to Michael O. Maffie, President and Chief Executive Officer, “As we disclosed last week, operating results were significantly impacted by unseasonably warm temperatures during the first quarter of 2003. While the eastern half of the United States was extremely cold and wet, Nevada experienced its warmest January on record and Arizona its second warmest. Warm temperatures continued through March. Although we can’t control the weather, we continue to monitor the expenses associated with our growing business. Cost curbing initiatives have been implemented and we recently completed a debt refinancing – seizing an opportunity in the current low interest rate environment.”</w:t>
      </w:r>
    </w:p>
    <w:p>
      <w:pPr>
        <w:spacing w:after="0" w:line="174" w:lineRule="exact"/>
        <w:rPr>
          <w:sz w:val="20"/>
          <w:szCs w:val="20"/>
          <w:color w:val="auto"/>
        </w:rPr>
      </w:pPr>
    </w:p>
    <w:p>
      <w:pPr>
        <w:ind w:right="1599"/>
        <w:spacing w:after="0" w:line="332" w:lineRule="auto"/>
        <w:rPr>
          <w:sz w:val="20"/>
          <w:szCs w:val="20"/>
          <w:color w:val="auto"/>
        </w:rPr>
      </w:pPr>
      <w:r>
        <w:rPr>
          <w:rFonts w:ascii="Arial" w:cs="Arial" w:eastAsia="Arial" w:hAnsi="Arial"/>
          <w:sz w:val="16"/>
          <w:szCs w:val="16"/>
          <w:color w:val="auto"/>
        </w:rPr>
        <w:t>For the twelve months ended March 31, 2003, consolidated net income was $26.6 million, or $0.80 per share, compared to $46.2 million, or $1.43 per share, during the twelve-month period ended March 31, 2002.</w:t>
      </w:r>
    </w:p>
    <w:p>
      <w:pPr>
        <w:spacing w:after="0" w:line="13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559943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994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940"/>
        <w:spacing w:after="0"/>
        <w:rPr>
          <w:sz w:val="20"/>
          <w:szCs w:val="20"/>
          <w:color w:val="auto"/>
        </w:rPr>
      </w:pPr>
      <w:r>
        <w:rPr>
          <w:rFonts w:ascii="Arial" w:cs="Arial" w:eastAsia="Arial" w:hAnsi="Arial"/>
          <w:sz w:val="18"/>
          <w:szCs w:val="18"/>
          <w:i w:val="1"/>
          <w:iCs w:val="1"/>
          <w:u w:val="single" w:color="auto"/>
          <w:color w:val="auto"/>
        </w:rPr>
        <w:t>Natural Gas Operations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w:t>
      </w:r>
    </w:p>
    <w:p>
      <w:pPr>
        <w:spacing w:after="0" w:line="225" w:lineRule="exact"/>
        <w:rPr>
          <w:sz w:val="20"/>
          <w:szCs w:val="20"/>
          <w:color w:val="auto"/>
        </w:rPr>
      </w:pPr>
    </w:p>
    <w:p>
      <w:pPr>
        <w:ind w:right="1459"/>
        <w:spacing w:after="0" w:line="298" w:lineRule="auto"/>
        <w:rPr>
          <w:sz w:val="20"/>
          <w:szCs w:val="20"/>
          <w:color w:val="auto"/>
        </w:rPr>
      </w:pPr>
      <w:r>
        <w:rPr>
          <w:rFonts w:ascii="Arial" w:cs="Arial" w:eastAsia="Arial" w:hAnsi="Arial"/>
          <w:sz w:val="16"/>
          <w:szCs w:val="16"/>
          <w:color w:val="auto"/>
        </w:rPr>
        <w:t>Operating margin, defined as operating revenues less the cost of gas sold, decreased $15 million, or eight percent, in the first quarter of 2003 compared to the first quarter of 2002. The extreme warm temperatures in Arizona and southern Nevada caused a $20 million reduction in margin, which was partially offset by an incremental $5 million contribution from customer growth. The Company added 59,000 customers during the last 12 months, an increase of four percent.</w:t>
      </w:r>
    </w:p>
    <w:p>
      <w:pPr>
        <w:spacing w:after="0" w:line="167" w:lineRule="exact"/>
        <w:rPr>
          <w:sz w:val="20"/>
          <w:szCs w:val="20"/>
          <w:color w:val="auto"/>
        </w:rPr>
      </w:pPr>
    </w:p>
    <w:p>
      <w:pPr>
        <w:ind w:right="1619"/>
        <w:spacing w:after="0" w:line="291" w:lineRule="auto"/>
        <w:rPr>
          <w:sz w:val="20"/>
          <w:szCs w:val="20"/>
          <w:color w:val="auto"/>
        </w:rPr>
      </w:pPr>
      <w:r>
        <w:rPr>
          <w:rFonts w:ascii="Arial" w:cs="Arial" w:eastAsia="Arial" w:hAnsi="Arial"/>
          <w:sz w:val="16"/>
          <w:szCs w:val="16"/>
          <w:color w:val="auto"/>
        </w:rPr>
        <w:t>Operating expenses for the quarter increased $2.6 million, or three percent, compared to the first quarter of 2002. The impact of general cost increases and costs associated with the continued expansion and upgrading of the gas system to accommodate customer growth were mitigated by cost-saving management initiatives. Net financing costs increased $1.3 million, or seven percent, between periods primarily due to an increase in average debt outstanding. In late March 2003, the Company refinanced $130 million of debt to take advantage of the low interest rate environment. The associated savings will be reflected in future periods.</w:t>
      </w:r>
    </w:p>
    <w:p>
      <w:pPr>
        <w:spacing w:after="0" w:line="174" w:lineRule="exact"/>
        <w:rPr>
          <w:sz w:val="20"/>
          <w:szCs w:val="20"/>
          <w:color w:val="auto"/>
        </w:rPr>
      </w:pPr>
    </w:p>
    <w:p>
      <w:pPr>
        <w:ind w:right="1439"/>
        <w:spacing w:after="0" w:line="332" w:lineRule="auto"/>
        <w:rPr>
          <w:sz w:val="20"/>
          <w:szCs w:val="20"/>
          <w:color w:val="auto"/>
        </w:rPr>
      </w:pPr>
      <w:r>
        <w:rPr>
          <w:rFonts w:ascii="Arial" w:cs="Arial" w:eastAsia="Arial" w:hAnsi="Arial"/>
          <w:sz w:val="16"/>
          <w:szCs w:val="16"/>
          <w:color w:val="auto"/>
        </w:rPr>
        <w:t>Other income declined $10 million resulting from a one-time pretax gain of $8.9 million on the sale of undeveloped property in northern Arizona, recognized in the first quarter of 2002, and a reduction in interest income between quarters.</w:t>
      </w:r>
    </w:p>
    <w:p>
      <w:pPr>
        <w:spacing w:after="0" w:line="13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-more-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Twelve Months to Date</w:t>
      </w:r>
    </w:p>
    <w:p>
      <w:pPr>
        <w:spacing w:after="0" w:line="225" w:lineRule="exact"/>
        <w:rPr>
          <w:sz w:val="20"/>
          <w:szCs w:val="20"/>
          <w:color w:val="auto"/>
        </w:rPr>
      </w:pPr>
    </w:p>
    <w:p>
      <w:pPr>
        <w:ind w:right="1459"/>
        <w:spacing w:after="0" w:line="255" w:lineRule="auto"/>
        <w:rPr>
          <w:sz w:val="20"/>
          <w:szCs w:val="20"/>
          <w:color w:val="auto"/>
        </w:rPr>
      </w:pPr>
      <w:r>
        <w:rPr>
          <w:rFonts w:ascii="Arial" w:cs="Arial" w:eastAsia="Arial" w:hAnsi="Arial"/>
          <w:sz w:val="18"/>
          <w:szCs w:val="18"/>
          <w:color w:val="auto"/>
        </w:rPr>
        <w:t>Operating margin increased $8 million between periods. Customer growth contributed an incremental $20 million while rate relief granted during the fourth quarter of 2001 added $18 million. Differences in heating demand caused by weather variations between periods resulted in a $30 million margin decrease as warmer-than-normal temperatures were experienced during both periods. During the current period, operating margin was negatively impacted by $38 million, and in the prior period, the negative impact was $8 million.</w:t>
      </w:r>
    </w:p>
    <w:p>
      <w:pPr>
        <w:spacing w:after="0" w:line="197" w:lineRule="exact"/>
        <w:rPr>
          <w:sz w:val="20"/>
          <w:szCs w:val="20"/>
          <w:color w:val="auto"/>
        </w:rPr>
      </w:pPr>
    </w:p>
    <w:p>
      <w:pPr>
        <w:ind w:right="1439"/>
        <w:spacing w:after="0" w:line="259" w:lineRule="auto"/>
        <w:rPr>
          <w:sz w:val="20"/>
          <w:szCs w:val="20"/>
          <w:color w:val="auto"/>
        </w:rPr>
      </w:pPr>
      <w:r>
        <w:rPr>
          <w:rFonts w:ascii="Arial" w:cs="Arial" w:eastAsia="Arial" w:hAnsi="Arial"/>
          <w:sz w:val="18"/>
          <w:szCs w:val="18"/>
          <w:color w:val="auto"/>
        </w:rPr>
        <w:t>Operating expenses increased $18.6 million, or five percent, reflecting incremental costs associated with servicing additional customers. Net financing costs increased $2.2 million, or three percent, due primarily to incremental borrowings to finance construction expenditures.</w:t>
      </w:r>
    </w:p>
    <w:p>
      <w:pPr>
        <w:spacing w:after="0" w:line="194" w:lineRule="exact"/>
        <w:rPr>
          <w:sz w:val="20"/>
          <w:szCs w:val="20"/>
          <w:color w:val="auto"/>
        </w:rPr>
      </w:pPr>
    </w:p>
    <w:p>
      <w:pPr>
        <w:ind w:right="1539"/>
        <w:spacing w:after="0" w:line="294" w:lineRule="auto"/>
        <w:rPr>
          <w:sz w:val="20"/>
          <w:szCs w:val="20"/>
          <w:color w:val="auto"/>
        </w:rPr>
      </w:pPr>
      <w:r>
        <w:rPr>
          <w:rFonts w:ascii="Arial" w:cs="Arial" w:eastAsia="Arial" w:hAnsi="Arial"/>
          <w:sz w:val="16"/>
          <w:szCs w:val="16"/>
          <w:color w:val="auto"/>
        </w:rPr>
        <w:t>Other income decreased $22.3 million between periods. Included in the prior period was the $8.9 million gain on sale of property discussed previously and a $3 million pretax gain on the sale of certain assets recognized during the fourth quarter of 2001. Charges totaling $2.7 million associated with a settled regulatory issue in California and $2.1 million of incremental merger-related litigation costs recognized in 2002 are included in the current period. Interest income earned primarily on the unrecovered balance of deferred purchased gas costs declined $4.2 million between periods.</w:t>
      </w:r>
    </w:p>
    <w:p>
      <w:pPr>
        <w:spacing w:after="0" w:line="170" w:lineRule="exact"/>
        <w:rPr>
          <w:sz w:val="20"/>
          <w:szCs w:val="20"/>
          <w:color w:val="auto"/>
        </w:rPr>
      </w:pPr>
    </w:p>
    <w:p>
      <w:pPr>
        <w:jc w:val="center"/>
        <w:ind w:right="1439"/>
        <w:spacing w:after="0"/>
        <w:rPr>
          <w:sz w:val="20"/>
          <w:szCs w:val="20"/>
          <w:color w:val="auto"/>
        </w:rPr>
      </w:pPr>
      <w:r>
        <w:rPr>
          <w:rFonts w:ascii="Arial" w:cs="Arial" w:eastAsia="Arial" w:hAnsi="Arial"/>
          <w:sz w:val="18"/>
          <w:szCs w:val="18"/>
          <w:color w:val="auto"/>
        </w:rPr>
        <w:t>-more-</w:t>
      </w:r>
    </w:p>
    <w:p>
      <w:pPr>
        <w:spacing w:after="0" w:line="225" w:lineRule="exact"/>
        <w:rPr>
          <w:sz w:val="20"/>
          <w:szCs w:val="20"/>
          <w:color w:val="auto"/>
        </w:rPr>
      </w:pPr>
    </w:p>
    <w:p>
      <w:pPr>
        <w:ind w:right="1819"/>
        <w:spacing w:after="0" w:line="332" w:lineRule="auto"/>
        <w:rPr>
          <w:sz w:val="20"/>
          <w:szCs w:val="20"/>
          <w:color w:val="auto"/>
        </w:rPr>
      </w:pPr>
      <w:r>
        <w:rPr>
          <w:rFonts w:ascii="Arial" w:cs="Arial" w:eastAsia="Arial" w:hAnsi="Arial"/>
          <w:sz w:val="16"/>
          <w:szCs w:val="16"/>
          <w:color w:val="auto"/>
        </w:rPr>
        <w:t>Southwest Gas Corporation provides natural gas service to approximately 1,470,000 customers in Arizona, Nevada and California. Its service territory is centered in the fastest-growing region of the country.</w:t>
      </w:r>
    </w:p>
    <w:p>
      <w:pPr>
        <w:spacing w:after="0" w:line="139" w:lineRule="exact"/>
        <w:rPr>
          <w:sz w:val="20"/>
          <w:szCs w:val="20"/>
          <w:color w:val="auto"/>
        </w:rPr>
      </w:pPr>
    </w:p>
    <w:p>
      <w:pPr>
        <w:ind w:right="1639"/>
        <w:spacing w:after="0" w:line="298" w:lineRule="auto"/>
        <w:rPr>
          <w:sz w:val="20"/>
          <w:szCs w:val="20"/>
          <w:color w:val="auto"/>
        </w:rPr>
      </w:pPr>
      <w:r>
        <w:rPr>
          <w:rFonts w:ascii="Arial" w:cs="Arial" w:eastAsia="Arial" w:hAnsi="Arial"/>
          <w:sz w:val="16"/>
          <w:szCs w:val="16"/>
          <w:color w:val="auto"/>
        </w:rPr>
        <w:t>This press release may contain statements which constitute “forward-looking statements” within the meaning of the Securities Litigation Reform Act of 1995 (Reform Act). All such forward-looking statements are intended to be subject to the safe harbor protection provided by the Reform Act. A number of important factors affecting the business and financial results of the Company could cause actual results to differ materially from those stated in the forward-looking statements.</w:t>
      </w:r>
    </w:p>
    <w:p>
      <w:pPr>
        <w:sectPr>
          <w:pgSz w:w="11900" w:h="16898" w:orient="portrait"/>
          <w:cols w:equalWidth="0" w:num="1">
            <w:col w:w="10219"/>
          </w:cols>
          <w:pgMar w:left="240" w:top="131" w:right="1440" w:bottom="0" w:gutter="0" w:footer="0" w:header="0"/>
        </w:sectPr>
      </w:pPr>
    </w:p>
    <w:bookmarkStart w:id="5" w:name="page6"/>
    <w:bookmarkEnd w:id="5"/>
    <w:p>
      <w:pPr>
        <w:jc w:val="both"/>
        <w:ind w:right="1679"/>
        <w:spacing w:after="0" w:line="256" w:lineRule="auto"/>
        <w:rPr>
          <w:sz w:val="20"/>
          <w:szCs w:val="20"/>
          <w:color w:val="auto"/>
        </w:rPr>
      </w:pPr>
      <w:r>
        <w:rPr>
          <w:rFonts w:ascii="Arial" w:cs="Arial" w:eastAsia="Arial" w:hAnsi="Arial"/>
          <w:sz w:val="18"/>
          <w:szCs w:val="18"/>
          <w:color w:val="auto"/>
        </w:rPr>
        <w:t>These factors include, but are not limited to, the impact of weather variations on customer usage, customer growth rates, natural gas prices, the effects of regulation/deregulation, the timing and amount of rate relief, changes in gas procurement practices, changes in capital requirements and funding, the impact of conditions in the capital markets on financing costs, acquisitions, and competition.</w:t>
      </w:r>
    </w:p>
    <w:p>
      <w:pPr>
        <w:spacing w:after="0" w:line="19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559943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994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479"/>
        <w:spacing w:after="0"/>
        <w:rPr>
          <w:sz w:val="20"/>
          <w:szCs w:val="20"/>
          <w:color w:val="auto"/>
        </w:rPr>
      </w:pPr>
      <w:r>
        <w:rPr>
          <w:rFonts w:ascii="Arial" w:cs="Arial" w:eastAsia="Arial" w:hAnsi="Arial"/>
          <w:sz w:val="18"/>
          <w:szCs w:val="18"/>
          <w:b w:val="1"/>
          <w:bCs w:val="1"/>
          <w:color w:val="auto"/>
        </w:rPr>
        <w:t>SOUTHWEST GAS CONSOLIDATED EARNINGS DIGEST</w:t>
      </w:r>
    </w:p>
    <w:p>
      <w:pPr>
        <w:spacing w:after="0" w:line="21" w:lineRule="exact"/>
        <w:rPr>
          <w:sz w:val="20"/>
          <w:szCs w:val="20"/>
          <w:color w:val="auto"/>
        </w:rPr>
      </w:pPr>
    </w:p>
    <w:p>
      <w:pPr>
        <w:jc w:val="center"/>
        <w:ind w:right="14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QUARTER ENDED MARCH 31,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19"/>
                <w:szCs w:val="19"/>
                <w:color w:val="auto"/>
              </w:rPr>
            </w:pPr>
          </w:p>
        </w:tc>
      </w:tr>
      <w:tr>
        <w:trPr>
          <w:trHeight w:val="110"/>
        </w:trPr>
        <w:tc>
          <w:tcPr>
            <w:tcW w:w="26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5160" w:type="dxa"/>
            <w:vAlign w:val="bottom"/>
            <w:gridSpan w:val="2"/>
          </w:tcPr>
          <w:p>
            <w:pPr>
              <w:spacing w:after="0"/>
              <w:rPr>
                <w:sz w:val="20"/>
                <w:szCs w:val="20"/>
                <w:color w:val="auto"/>
              </w:rPr>
            </w:pPr>
            <w:r>
              <w:rPr>
                <w:rFonts w:ascii="Arial" w:cs="Arial" w:eastAsia="Arial" w:hAnsi="Arial"/>
                <w:sz w:val="18"/>
                <w:szCs w:val="18"/>
                <w:color w:val="auto"/>
              </w:rPr>
              <w:t>Consolidated Operating Revenues</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403,285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499,501</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25,539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42,896</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Average Number of Common Shares Outstanding</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33,438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32,620</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0.76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1.32</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0.76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1.30</w:t>
            </w: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TWELVE MONTHS ENDED MARCH 31,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2002</w:t>
            </w:r>
          </w:p>
        </w:tc>
      </w:tr>
      <w:tr>
        <w:trPr>
          <w:trHeight w:val="110"/>
        </w:trPr>
        <w:tc>
          <w:tcPr>
            <w:tcW w:w="26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r>
      <w:tr>
        <w:trPr>
          <w:trHeight w:val="309"/>
        </w:trPr>
        <w:tc>
          <w:tcPr>
            <w:tcW w:w="5160" w:type="dxa"/>
            <w:vAlign w:val="bottom"/>
            <w:gridSpan w:val="2"/>
          </w:tcPr>
          <w:p>
            <w:pPr>
              <w:spacing w:after="0"/>
              <w:rPr>
                <w:sz w:val="20"/>
                <w:szCs w:val="20"/>
                <w:color w:val="auto"/>
              </w:rPr>
            </w:pPr>
            <w:r>
              <w:rPr>
                <w:rFonts w:ascii="Arial" w:cs="Arial" w:eastAsia="Arial" w:hAnsi="Arial"/>
                <w:sz w:val="18"/>
                <w:szCs w:val="18"/>
                <w:color w:val="auto"/>
              </w:rPr>
              <w:t>Consolidated Operating Revenues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1,224,693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1,408,691</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26,608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46,243</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Average Number of Common Shares Outstanding</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33,155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32,319</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0.80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0.80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r>
    </w:tbl>
    <w:p>
      <w:pPr>
        <w:spacing w:after="0" w:line="200" w:lineRule="exact"/>
        <w:rPr>
          <w:sz w:val="20"/>
          <w:szCs w:val="20"/>
          <w:color w:val="auto"/>
        </w:rPr>
      </w:pPr>
    </w:p>
    <w:p>
      <w:pPr>
        <w:spacing w:after="0" w:line="28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-end-</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9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2019-12-13T06:55:42Z</dcterms:created>
  <dcterms:modified xsi:type="dcterms:W3CDTF">2019-12-13T06:55:42Z</dcterms:modified>
</cp:coreProperties>
</file>